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cs="宋体"/>
        </w:rPr>
      </w:pPr>
      <w:r>
        <w:rPr>
          <w:rFonts w:hint="eastAsia" w:ascii="宋体" w:hAnsi="宋体" w:cs="宋体"/>
        </w:rPr>
        <w:t>镇江海纳川物流产业发展有限责任公司</w:t>
      </w:r>
    </w:p>
    <w:p>
      <w:pPr>
        <w:pStyle w:val="2"/>
        <w:rPr>
          <w:rFonts w:ascii="宋体" w:cs="宋体"/>
        </w:rPr>
      </w:pPr>
      <w:r>
        <w:rPr>
          <w:rFonts w:hint="eastAsia" w:ascii="宋体" w:hAnsi="宋体" w:cs="宋体"/>
        </w:rPr>
        <w:t>招标文件</w:t>
      </w:r>
    </w:p>
    <w:p>
      <w:pPr>
        <w:wordWrap w:val="0"/>
        <w:spacing w:line="360" w:lineRule="auto"/>
        <w:jc w:val="left"/>
        <w:rPr>
          <w:rFonts w:ascii="仿宋" w:hAnsi="仿宋" w:eastAsia="仿宋" w:cs="仿宋"/>
          <w:kern w:val="1"/>
          <w:sz w:val="24"/>
        </w:rPr>
      </w:pPr>
      <w:r>
        <w:rPr>
          <w:rFonts w:hint="eastAsia" w:ascii="仿宋" w:hAnsi="仿宋" w:eastAsia="仿宋" w:cs="仿宋"/>
          <w:kern w:val="1"/>
          <w:sz w:val="24"/>
        </w:rPr>
        <w:t>一、报价须知</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1、招标项目：</w:t>
      </w:r>
      <w:r>
        <w:rPr>
          <w:rFonts w:hint="eastAsia" w:ascii="仿宋" w:hAnsi="仿宋" w:eastAsia="仿宋" w:cs="仿宋"/>
          <w:kern w:val="1"/>
          <w:sz w:val="24"/>
          <w:u w:val="single"/>
        </w:rPr>
        <w:t xml:space="preserve"> </w:t>
      </w:r>
      <w:r>
        <w:rPr>
          <w:rFonts w:hint="eastAsia" w:ascii="宋体" w:hAnsi="宋体" w:cs="ÑÚSå"/>
          <w:bCs/>
          <w:kern w:val="1"/>
          <w:sz w:val="24"/>
          <w:u w:val="single"/>
        </w:rPr>
        <w:t xml:space="preserve">20230301港口事业部阀门类采购 </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2、项目编号：</w:t>
      </w:r>
      <w:r>
        <w:rPr>
          <w:rFonts w:hint="eastAsia" w:ascii="宋体" w:hAnsi="宋体" w:cs="宋体"/>
          <w:sz w:val="24"/>
          <w:u w:val="single"/>
        </w:rPr>
        <w:t xml:space="preserve">  </w:t>
      </w:r>
      <w:r>
        <w:rPr>
          <w:rFonts w:ascii="宋体" w:hAnsi="宋体" w:cs="宋体"/>
          <w:sz w:val="24"/>
          <w:u w:val="single"/>
        </w:rPr>
        <w:t>HJHB-2023-200</w:t>
      </w:r>
      <w:r>
        <w:rPr>
          <w:rFonts w:hint="eastAsia" w:ascii="宋体" w:hAnsi="宋体" w:cs="宋体"/>
          <w:sz w:val="24"/>
          <w:u w:val="single"/>
        </w:rPr>
        <w:t>2</w:t>
      </w:r>
      <w:r>
        <w:rPr>
          <w:rFonts w:hint="eastAsia" w:ascii="宋体" w:hAnsi="宋体" w:cs="ÑÚSå"/>
          <w:bCs/>
          <w:kern w:val="1"/>
          <w:sz w:val="24"/>
          <w:u w:val="single"/>
        </w:rPr>
        <w:t xml:space="preserve"> </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3、投标有效期：不得少于自投标截止之日起</w:t>
      </w:r>
      <w:r>
        <w:rPr>
          <w:rFonts w:hint="eastAsia" w:ascii="仿宋" w:hAnsi="仿宋" w:eastAsia="仿宋" w:cs="仿宋"/>
          <w:kern w:val="1"/>
          <w:sz w:val="24"/>
          <w:u w:val="single"/>
        </w:rPr>
        <w:t xml:space="preserve"> 30 </w:t>
      </w:r>
      <w:r>
        <w:rPr>
          <w:rFonts w:hint="eastAsia" w:ascii="仿宋" w:hAnsi="仿宋" w:eastAsia="仿宋" w:cs="仿宋"/>
          <w:kern w:val="1"/>
          <w:sz w:val="24"/>
        </w:rPr>
        <w:t>日；</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4、交货地点：</w:t>
      </w:r>
      <w:r>
        <w:rPr>
          <w:rFonts w:hint="eastAsia" w:ascii="仿宋" w:hAnsi="仿宋" w:eastAsia="仿宋" w:cs="仿宋"/>
          <w:kern w:val="1"/>
          <w:sz w:val="24"/>
          <w:u w:val="single"/>
        </w:rPr>
        <w:t xml:space="preserve"> 镇江海纳川物流产业发展有限责任公司 </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u w:val="single"/>
        </w:rPr>
      </w:pPr>
      <w:r>
        <w:rPr>
          <w:rFonts w:hint="eastAsia" w:ascii="仿宋" w:hAnsi="仿宋" w:eastAsia="仿宋" w:cs="仿宋"/>
          <w:kern w:val="1"/>
          <w:sz w:val="24"/>
        </w:rPr>
        <w:t>5、交货期限：</w:t>
      </w:r>
      <w:r>
        <w:rPr>
          <w:rFonts w:hint="eastAsia" w:ascii="仿宋" w:hAnsi="仿宋" w:eastAsia="仿宋" w:cs="仿宋"/>
          <w:kern w:val="1"/>
          <w:sz w:val="24"/>
          <w:u w:val="single"/>
        </w:rPr>
        <w:t xml:space="preserve"> 合同签订生效后40天供货 </w:t>
      </w:r>
      <w:r>
        <w:rPr>
          <w:rFonts w:hint="eastAsia" w:ascii="仿宋" w:hAnsi="仿宋" w:eastAsia="仿宋" w:cs="仿宋"/>
          <w:kern w:val="1"/>
          <w:sz w:val="24"/>
        </w:rPr>
        <w:t>；</w:t>
      </w:r>
      <w:r>
        <w:rPr>
          <w:rFonts w:hint="eastAsia" w:ascii="仿宋" w:hAnsi="仿宋" w:eastAsia="仿宋" w:cs="仿宋"/>
          <w:color w:val="auto"/>
          <w:kern w:val="1"/>
          <w:sz w:val="24"/>
        </w:rPr>
        <w:t>（</w:t>
      </w:r>
      <w:r>
        <w:rPr>
          <w:rFonts w:hint="eastAsia" w:ascii="仿宋" w:hAnsi="仿宋" w:eastAsia="仿宋" w:cs="仿宋"/>
          <w:color w:val="FF0000"/>
          <w:kern w:val="2"/>
          <w:sz w:val="24"/>
        </w:rPr>
        <w:t>允许投标人按实际交货时间填写,评标时交货期作为重要参考依据</w:t>
      </w:r>
      <w:r>
        <w:rPr>
          <w:rFonts w:hint="eastAsia" w:ascii="仿宋" w:hAnsi="仿宋" w:eastAsia="仿宋" w:cs="仿宋"/>
          <w:color w:val="auto"/>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6、付款须知：货物验收合格后，招标方收到中标方开具的增值税专用发票后60日内以银行承兑方式付款；本次招标</w:t>
      </w:r>
      <w:r>
        <w:rPr>
          <w:rFonts w:hint="eastAsia" w:ascii="仿宋" w:hAnsi="仿宋" w:eastAsia="仿宋" w:cs="仿宋"/>
          <w:b/>
          <w:color w:val="FF0000"/>
          <w:kern w:val="1"/>
          <w:sz w:val="24"/>
        </w:rPr>
        <w:t>不接受</w:t>
      </w:r>
      <w:r>
        <w:rPr>
          <w:rFonts w:hint="eastAsia" w:ascii="仿宋" w:hAnsi="仿宋" w:eastAsia="仿宋" w:cs="仿宋"/>
          <w:b/>
          <w:kern w:val="1"/>
          <w:sz w:val="24"/>
        </w:rPr>
        <w:t>款到发货</w:t>
      </w:r>
      <w:r>
        <w:rPr>
          <w:rFonts w:hint="eastAsia" w:ascii="仿宋" w:hAnsi="仿宋" w:eastAsia="仿宋" w:cs="仿宋"/>
          <w:kern w:val="1"/>
          <w:sz w:val="24"/>
        </w:rPr>
        <w:t>。（</w:t>
      </w:r>
      <w:r>
        <w:rPr>
          <w:rFonts w:hint="eastAsia" w:ascii="仿宋" w:hAnsi="仿宋" w:eastAsia="仿宋" w:cs="仿宋"/>
          <w:color w:val="FF0000"/>
          <w:sz w:val="24"/>
        </w:rPr>
        <w:t>如投标方不接受我司提出的付款方式，可以提出能够接受的付款方式及付款时间</w:t>
      </w:r>
      <w:r>
        <w:rPr>
          <w:rFonts w:hint="eastAsia" w:ascii="仿宋" w:hAnsi="仿宋" w:eastAsia="仿宋" w:cs="仿宋"/>
          <w:color w:val="FF0000"/>
          <w:kern w:val="1"/>
          <w:sz w:val="24"/>
        </w:rPr>
        <w:t>，评标时作为参考</w:t>
      </w:r>
      <w:r>
        <w:rPr>
          <w:rFonts w:hint="eastAsia" w:ascii="仿宋" w:hAnsi="仿宋" w:eastAsia="仿宋" w:cs="仿宋"/>
          <w:color w:val="auto"/>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7、招标控制价：</w:t>
      </w:r>
      <w:r>
        <w:rPr>
          <w:rFonts w:hint="eastAsia" w:ascii="仿宋" w:hAnsi="仿宋" w:eastAsia="仿宋" w:cs="仿宋"/>
          <w:kern w:val="1"/>
          <w:sz w:val="24"/>
          <w:u w:val="single"/>
        </w:rPr>
        <w:t xml:space="preserve"> 30万元 </w:t>
      </w:r>
      <w:r>
        <w:rPr>
          <w:rFonts w:hint="eastAsia" w:ascii="仿宋" w:hAnsi="仿宋" w:eastAsia="仿宋" w:cs="仿宋"/>
          <w:kern w:val="1"/>
          <w:sz w:val="24"/>
        </w:rPr>
        <w:t>（含税）高于控制价作废标处理；</w:t>
      </w:r>
    </w:p>
    <w:p>
      <w:pPr>
        <w:wordWrap w:val="0"/>
        <w:spacing w:line="360" w:lineRule="auto"/>
        <w:ind w:firstLine="480" w:firstLineChars="200"/>
        <w:jc w:val="left"/>
        <w:rPr>
          <w:rFonts w:ascii="仿宋" w:hAnsi="仿宋" w:eastAsia="仿宋" w:cs="仿宋"/>
          <w:bCs/>
          <w:kern w:val="1"/>
          <w:sz w:val="24"/>
        </w:rPr>
      </w:pPr>
      <w:r>
        <w:rPr>
          <w:rFonts w:hint="eastAsia" w:ascii="仿宋" w:hAnsi="仿宋" w:eastAsia="仿宋" w:cs="仿宋"/>
          <w:bCs/>
          <w:kern w:val="1"/>
          <w:sz w:val="24"/>
        </w:rPr>
        <w:t>8、当有效投标大于等于3家时推荐中标候选人三名；</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9、投标书格式要求：见招标文件及附件；</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10、投标截止时间：</w:t>
      </w:r>
      <w:r>
        <w:rPr>
          <w:rFonts w:hint="eastAsia" w:ascii="仿宋" w:hAnsi="仿宋" w:eastAsia="仿宋" w:cs="仿宋"/>
          <w:kern w:val="1"/>
          <w:sz w:val="24"/>
          <w:u w:val="single"/>
        </w:rPr>
        <w:t xml:space="preserve"> </w:t>
      </w:r>
      <w:r>
        <w:rPr>
          <w:rFonts w:hint="eastAsia" w:ascii="仿宋" w:hAnsi="仿宋" w:eastAsia="仿宋" w:cs="仿宋"/>
          <w:kern w:val="1"/>
          <w:sz w:val="24"/>
          <w:u w:val="single"/>
          <w:lang w:val="en-US" w:eastAsia="zh-CN"/>
        </w:rPr>
        <w:t>2023年3月10日下午2点20分</w:t>
      </w:r>
      <w:r>
        <w:rPr>
          <w:rFonts w:hint="eastAsia" w:ascii="仿宋" w:hAnsi="仿宋" w:eastAsia="仿宋" w:cs="仿宋"/>
          <w:kern w:val="1"/>
          <w:sz w:val="24"/>
          <w:u w:val="single"/>
        </w:rPr>
        <w:t xml:space="preserve"> </w:t>
      </w:r>
      <w:r>
        <w:rPr>
          <w:rFonts w:hint="eastAsia" w:ascii="仿宋" w:hAnsi="仿宋" w:eastAsia="仿宋" w:cs="仿宋"/>
          <w:kern w:val="1"/>
          <w:sz w:val="24"/>
        </w:rPr>
        <w:t>；</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11、初定开标时间：</w:t>
      </w:r>
      <w:r>
        <w:rPr>
          <w:rFonts w:hint="eastAsia" w:ascii="仿宋" w:hAnsi="仿宋" w:eastAsia="仿宋" w:cs="仿宋"/>
          <w:kern w:val="1"/>
          <w:sz w:val="24"/>
          <w:u w:val="single"/>
        </w:rPr>
        <w:t xml:space="preserve"> </w:t>
      </w:r>
      <w:r>
        <w:rPr>
          <w:rFonts w:hint="eastAsia" w:ascii="仿宋" w:hAnsi="仿宋" w:eastAsia="仿宋" w:cs="仿宋"/>
          <w:kern w:val="1"/>
          <w:sz w:val="24"/>
          <w:u w:val="single"/>
          <w:lang w:val="en-US" w:eastAsia="zh-CN"/>
        </w:rPr>
        <w:t>2023年3月10日下午2点20分</w:t>
      </w:r>
      <w:r>
        <w:rPr>
          <w:rFonts w:hint="eastAsia" w:ascii="仿宋" w:hAnsi="仿宋" w:eastAsia="仿宋" w:cs="仿宋"/>
          <w:kern w:val="1"/>
          <w:sz w:val="24"/>
          <w:u w:val="single"/>
        </w:rPr>
        <w:t xml:space="preserve"> </w:t>
      </w:r>
      <w:r>
        <w:rPr>
          <w:rFonts w:hint="eastAsia" w:ascii="仿宋" w:hAnsi="仿宋" w:eastAsia="仿宋" w:cs="仿宋"/>
          <w:kern w:val="1"/>
          <w:sz w:val="24"/>
        </w:rPr>
        <w:t>；</w:t>
      </w:r>
    </w:p>
    <w:p>
      <w:pPr>
        <w:tabs>
          <w:tab w:val="left" w:pos="180"/>
        </w:tabs>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12、开标地点：镇江海纳川物流产业发展有限责任公司；</w:t>
      </w:r>
    </w:p>
    <w:p>
      <w:pPr>
        <w:tabs>
          <w:tab w:val="left" w:pos="180"/>
        </w:tabs>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13、采用纸质文件投标的，投标人应将投标文件装入信袋内密封，并在封签处加盖投标人公章。包装封面应注明投标项目名称、投标人名称和地址，不得有破损。对未按要求密封和加写标记的投标文件，招标方将予以拒绝，并退回投标人。</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14、如投标人需咨询有关本次招标的其它相关事宜，请按下述方式联系：</w:t>
      </w:r>
    </w:p>
    <w:p>
      <w:pPr>
        <w:pStyle w:val="19"/>
        <w:tabs>
          <w:tab w:val="left" w:pos="180"/>
        </w:tabs>
        <w:wordWrap w:val="0"/>
        <w:spacing w:line="360" w:lineRule="auto"/>
        <w:ind w:firstLine="480"/>
        <w:jc w:val="left"/>
        <w:rPr>
          <w:rFonts w:ascii="仿宋" w:hAnsi="仿宋" w:eastAsia="仿宋" w:cs="仿宋"/>
          <w:kern w:val="1"/>
          <w:sz w:val="24"/>
          <w:szCs w:val="24"/>
        </w:rPr>
      </w:pPr>
      <w:r>
        <w:rPr>
          <w:rFonts w:hint="eastAsia" w:ascii="仿宋" w:hAnsi="仿宋" w:eastAsia="仿宋" w:cs="仿宋"/>
          <w:kern w:val="1"/>
          <w:sz w:val="24"/>
          <w:szCs w:val="24"/>
        </w:rPr>
        <w:t>公司：镇江海纳川物流产业发展有限责任公司</w:t>
      </w:r>
    </w:p>
    <w:p>
      <w:pPr>
        <w:wordWrap w:val="0"/>
        <w:spacing w:line="360" w:lineRule="auto"/>
        <w:ind w:firstLine="480" w:firstLineChars="200"/>
        <w:jc w:val="left"/>
        <w:rPr>
          <w:rFonts w:ascii="仿宋" w:hAnsi="仿宋" w:eastAsia="仿宋" w:cs="仿宋"/>
          <w:bCs/>
          <w:kern w:val="1"/>
          <w:sz w:val="24"/>
        </w:rPr>
      </w:pPr>
      <w:r>
        <w:rPr>
          <w:rFonts w:hint="eastAsia" w:ascii="仿宋" w:hAnsi="仿宋" w:eastAsia="仿宋" w:cs="仿宋"/>
          <w:kern w:val="1"/>
          <w:sz w:val="24"/>
        </w:rPr>
        <w:t>地址：</w:t>
      </w:r>
      <w:r>
        <w:rPr>
          <w:rFonts w:hint="eastAsia" w:ascii="仿宋" w:hAnsi="仿宋" w:eastAsia="仿宋" w:cs="仿宋"/>
          <w:bCs/>
          <w:kern w:val="1"/>
          <w:sz w:val="24"/>
        </w:rPr>
        <w:t>江苏省镇江市求索路66号（海纳川211室风险控制部）</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邮编：212006                邮箱：</w:t>
      </w:r>
      <w:r>
        <w:fldChar w:fldCharType="begin"/>
      </w:r>
      <w:r>
        <w:instrText xml:space="preserve"> HYPERLINK "mailto:hnc_scfwc@sina.com" </w:instrText>
      </w:r>
      <w:r>
        <w:fldChar w:fldCharType="separate"/>
      </w:r>
      <w:r>
        <w:rPr>
          <w:rFonts w:hint="eastAsia" w:ascii="仿宋" w:hAnsi="仿宋" w:eastAsia="仿宋" w:cs="仿宋"/>
          <w:sz w:val="24"/>
        </w:rPr>
        <w:t>hnc_scfwc@163.com</w:t>
      </w:r>
      <w:r>
        <w:rPr>
          <w:rFonts w:hint="eastAsia" w:ascii="仿宋" w:hAnsi="仿宋" w:eastAsia="仿宋" w:cs="仿宋"/>
          <w:sz w:val="24"/>
        </w:rPr>
        <w:fldChar w:fldCharType="end"/>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招标联系人：邵蕾            电话：0511-88995879</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商务联系人：周祥生　　　　　手机：13861358963</w:t>
      </w:r>
    </w:p>
    <w:p>
      <w:pPr>
        <w:wordWrap w:val="0"/>
        <w:spacing w:line="360" w:lineRule="auto"/>
        <w:jc w:val="left"/>
        <w:rPr>
          <w:rFonts w:ascii="仿宋" w:hAnsi="仿宋" w:eastAsia="仿宋" w:cs="仿宋"/>
          <w:kern w:val="1"/>
          <w:sz w:val="24"/>
        </w:rPr>
      </w:pPr>
      <w:r>
        <w:rPr>
          <w:rFonts w:hint="eastAsia" w:ascii="仿宋" w:hAnsi="仿宋" w:eastAsia="仿宋" w:cs="仿宋"/>
          <w:kern w:val="1"/>
          <w:sz w:val="24"/>
        </w:rPr>
        <w:t>二、对投标人的基本要求</w:t>
      </w:r>
    </w:p>
    <w:p>
      <w:pPr>
        <w:wordWrap w:val="0"/>
        <w:spacing w:line="360" w:lineRule="auto"/>
        <w:ind w:firstLine="480" w:firstLineChars="200"/>
        <w:jc w:val="left"/>
        <w:rPr>
          <w:rFonts w:ascii="仿宋" w:hAnsi="仿宋" w:eastAsia="仿宋" w:cs="仿宋"/>
          <w:sz w:val="24"/>
        </w:rPr>
      </w:pPr>
      <w:r>
        <w:rPr>
          <w:rFonts w:hint="eastAsia" w:ascii="仿宋" w:hAnsi="仿宋" w:eastAsia="仿宋" w:cs="仿宋"/>
          <w:sz w:val="24"/>
        </w:rPr>
        <w:t>1、投标人应保证投标文件内容完整、真实、准确，招标方于任何时间发现投标人所提供资料不能满足相关要求的，均有权废弃该投标人的投标文件。</w:t>
      </w:r>
    </w:p>
    <w:p>
      <w:pPr>
        <w:wordWrap w:val="0"/>
        <w:spacing w:line="360" w:lineRule="auto"/>
        <w:ind w:firstLine="480" w:firstLineChars="200"/>
        <w:jc w:val="left"/>
        <w:rPr>
          <w:rFonts w:ascii="仿宋" w:hAnsi="仿宋" w:eastAsia="仿宋" w:cs="仿宋"/>
          <w:sz w:val="24"/>
        </w:rPr>
      </w:pPr>
      <w:r>
        <w:rPr>
          <w:rFonts w:hint="eastAsia" w:ascii="仿宋" w:hAnsi="仿宋" w:eastAsia="仿宋" w:cs="仿宋"/>
          <w:sz w:val="24"/>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wordWrap w:val="0"/>
        <w:spacing w:line="360" w:lineRule="auto"/>
        <w:ind w:firstLine="480" w:firstLineChars="200"/>
        <w:jc w:val="left"/>
        <w:rPr>
          <w:rFonts w:ascii="仿宋" w:hAnsi="仿宋" w:eastAsia="仿宋" w:cs="仿宋"/>
          <w:sz w:val="24"/>
        </w:rPr>
      </w:pPr>
      <w:r>
        <w:rPr>
          <w:rFonts w:hint="eastAsia" w:ascii="仿宋" w:hAnsi="仿宋" w:eastAsia="仿宋" w:cs="仿宋"/>
          <w:kern w:val="1"/>
          <w:sz w:val="24"/>
        </w:rPr>
        <w:t>3、投标人必须具备良好的售后服务能力，需2小时内响应，24小时之内做出答复，必要时需48小时内安排技术人员到达使用现场，提供解决方案。</w:t>
      </w:r>
    </w:p>
    <w:p>
      <w:pPr>
        <w:spacing w:line="360" w:lineRule="auto"/>
        <w:ind w:firstLine="482" w:firstLineChars="200"/>
        <w:jc w:val="left"/>
        <w:rPr>
          <w:rFonts w:ascii="仿宋" w:hAnsi="仿宋" w:eastAsia="仿宋" w:cs="仿宋"/>
          <w:b/>
          <w:kern w:val="1"/>
          <w:sz w:val="24"/>
        </w:rPr>
      </w:pPr>
      <w:r>
        <w:rPr>
          <w:rFonts w:hint="eastAsia" w:ascii="仿宋" w:hAnsi="仿宋" w:eastAsia="仿宋" w:cs="仿宋"/>
          <w:b/>
          <w:kern w:val="1"/>
          <w:sz w:val="24"/>
        </w:rPr>
        <w:t>3.投标人须提供下列文件</w:t>
      </w:r>
      <w:r>
        <w:rPr>
          <w:rFonts w:hint="eastAsia" w:ascii="仿宋" w:hAnsi="仿宋" w:eastAsia="仿宋" w:cs="仿宋"/>
          <w:b/>
          <w:color w:val="FF0000"/>
          <w:kern w:val="1"/>
          <w:sz w:val="24"/>
        </w:rPr>
        <w:t>（未按要求作废标处理）</w:t>
      </w:r>
    </w:p>
    <w:p>
      <w:pPr>
        <w:spacing w:line="360" w:lineRule="auto"/>
        <w:ind w:firstLine="480" w:firstLineChars="200"/>
        <w:jc w:val="left"/>
        <w:rPr>
          <w:rFonts w:ascii="仿宋" w:hAnsi="仿宋" w:eastAsia="仿宋" w:cs="仿宋"/>
          <w:sz w:val="24"/>
          <w:u w:val="single"/>
        </w:rPr>
      </w:pPr>
      <w:r>
        <w:rPr>
          <w:rFonts w:hint="eastAsia" w:ascii="仿宋" w:hAnsi="仿宋" w:eastAsia="仿宋" w:cs="仿宋"/>
          <w:kern w:val="1"/>
          <w:sz w:val="24"/>
        </w:rPr>
        <w:t>3.1、投标人</w:t>
      </w:r>
      <w:r>
        <w:rPr>
          <w:rFonts w:hint="eastAsia" w:ascii="仿宋" w:hAnsi="仿宋" w:eastAsia="仿宋" w:cs="仿宋"/>
          <w:sz w:val="24"/>
        </w:rPr>
        <w:t>有效资格证明文件：</w:t>
      </w:r>
      <w:r>
        <w:rPr>
          <w:rFonts w:hint="eastAsia" w:ascii="仿宋" w:hAnsi="仿宋" w:eastAsia="仿宋" w:cs="仿宋"/>
          <w:color w:val="FF0000"/>
          <w:sz w:val="24"/>
        </w:rPr>
        <w:t>《营业执照》。（复印件</w:t>
      </w:r>
      <w:r>
        <w:rPr>
          <w:rFonts w:hint="eastAsia" w:ascii="仿宋" w:hAnsi="仿宋" w:eastAsia="仿宋" w:cs="仿宋"/>
          <w:color w:val="FF0000"/>
          <w:kern w:val="1"/>
          <w:sz w:val="24"/>
        </w:rPr>
        <w:t>需盖公章）</w:t>
      </w:r>
    </w:p>
    <w:p>
      <w:pPr>
        <w:spacing w:line="360" w:lineRule="auto"/>
        <w:ind w:left="210" w:leftChars="100" w:firstLine="240" w:firstLineChars="100"/>
        <w:jc w:val="left"/>
        <w:rPr>
          <w:rFonts w:ascii="仿宋" w:hAnsi="仿宋" w:eastAsia="仿宋" w:cs="仿宋"/>
          <w:kern w:val="1"/>
          <w:sz w:val="24"/>
          <w:shd w:val="clear" w:color="FFFFFF" w:fill="D9D9D9"/>
        </w:rPr>
      </w:pPr>
      <w:r>
        <w:rPr>
          <w:rFonts w:hint="eastAsia" w:ascii="仿宋" w:hAnsi="仿宋" w:eastAsia="仿宋" w:cs="仿宋"/>
          <w:kern w:val="1"/>
          <w:sz w:val="24"/>
        </w:rPr>
        <w:t>3.2、投标人必须上传</w:t>
      </w:r>
      <w:r>
        <w:rPr>
          <w:rFonts w:hint="eastAsia" w:ascii="仿宋" w:hAnsi="仿宋" w:eastAsia="仿宋" w:cs="仿宋"/>
          <w:color w:val="FF0000"/>
          <w:kern w:val="1"/>
          <w:sz w:val="24"/>
        </w:rPr>
        <w:t>承诺函</w:t>
      </w:r>
      <w:r>
        <w:rPr>
          <w:rFonts w:hint="eastAsia" w:ascii="仿宋" w:hAnsi="仿宋" w:eastAsia="仿宋" w:cs="仿宋"/>
          <w:kern w:val="1"/>
          <w:sz w:val="24"/>
        </w:rPr>
        <w:t>（附件一）</w:t>
      </w:r>
      <w:r>
        <w:rPr>
          <w:rFonts w:hint="eastAsia" w:ascii="仿宋" w:hAnsi="仿宋" w:eastAsia="仿宋" w:cs="仿宋"/>
          <w:color w:val="FF0000"/>
          <w:kern w:val="1"/>
          <w:sz w:val="24"/>
        </w:rPr>
        <w:t>需盖公章,签字处需手签，打印无效</w:t>
      </w:r>
      <w:r>
        <w:rPr>
          <w:rFonts w:hint="eastAsia" w:ascii="仿宋" w:hAnsi="仿宋" w:eastAsia="仿宋" w:cs="仿宋"/>
          <w:kern w:val="1"/>
          <w:sz w:val="24"/>
        </w:rPr>
        <w:t>。</w:t>
      </w:r>
    </w:p>
    <w:p>
      <w:pPr>
        <w:spacing w:line="360" w:lineRule="auto"/>
        <w:ind w:left="210" w:leftChars="100" w:firstLine="240" w:firstLineChars="100"/>
        <w:jc w:val="left"/>
        <w:rPr>
          <w:rFonts w:ascii="仿宋" w:hAnsi="仿宋" w:eastAsia="仿宋" w:cs="仿宋"/>
          <w:color w:val="FF0000"/>
          <w:kern w:val="1"/>
          <w:sz w:val="24"/>
        </w:rPr>
      </w:pPr>
      <w:r>
        <w:rPr>
          <w:rFonts w:hint="eastAsia" w:ascii="仿宋" w:hAnsi="仿宋" w:eastAsia="仿宋" w:cs="仿宋"/>
          <w:kern w:val="1"/>
          <w:sz w:val="24"/>
        </w:rPr>
        <w:t>3.3、采用</w:t>
      </w:r>
      <w:r>
        <w:rPr>
          <w:rFonts w:hint="eastAsia" w:ascii="仿宋" w:hAnsi="仿宋" w:eastAsia="仿宋" w:cs="仿宋"/>
          <w:b/>
          <w:kern w:val="1"/>
          <w:sz w:val="24"/>
        </w:rPr>
        <w:t>线下</w:t>
      </w:r>
      <w:r>
        <w:rPr>
          <w:rFonts w:hint="eastAsia" w:ascii="仿宋" w:hAnsi="仿宋" w:eastAsia="仿宋" w:cs="仿宋"/>
          <w:kern w:val="1"/>
          <w:sz w:val="24"/>
        </w:rPr>
        <w:t>投标的，必须提供</w:t>
      </w:r>
      <w:r>
        <w:rPr>
          <w:rFonts w:hint="eastAsia" w:ascii="仿宋" w:hAnsi="仿宋" w:eastAsia="仿宋" w:cs="仿宋"/>
          <w:color w:val="FF0000"/>
          <w:kern w:val="1"/>
          <w:sz w:val="24"/>
        </w:rPr>
        <w:t>开标一览表</w:t>
      </w:r>
      <w:r>
        <w:rPr>
          <w:rFonts w:hint="eastAsia" w:ascii="仿宋" w:hAnsi="仿宋" w:eastAsia="仿宋" w:cs="仿宋"/>
          <w:kern w:val="1"/>
          <w:sz w:val="24"/>
        </w:rPr>
        <w:t>（附件二）</w:t>
      </w:r>
      <w:r>
        <w:rPr>
          <w:rFonts w:hint="eastAsia" w:ascii="仿宋" w:hAnsi="仿宋" w:eastAsia="仿宋" w:cs="仿宋"/>
          <w:color w:val="FF0000"/>
          <w:kern w:val="1"/>
          <w:sz w:val="24"/>
        </w:rPr>
        <w:t>需盖公章，签字处需手签，打印无效。</w:t>
      </w:r>
    </w:p>
    <w:p>
      <w:pPr>
        <w:spacing w:line="360" w:lineRule="auto"/>
        <w:ind w:left="210" w:leftChars="100" w:firstLine="240" w:firstLineChars="100"/>
        <w:jc w:val="left"/>
        <w:rPr>
          <w:rFonts w:ascii="仿宋" w:hAnsi="仿宋" w:eastAsia="仿宋" w:cs="仿宋"/>
          <w:kern w:val="1"/>
          <w:sz w:val="24"/>
        </w:rPr>
      </w:pPr>
      <w:r>
        <w:rPr>
          <w:rFonts w:hint="eastAsia" w:ascii="仿宋" w:hAnsi="仿宋" w:eastAsia="仿宋" w:cs="仿宋"/>
          <w:kern w:val="1"/>
          <w:sz w:val="24"/>
        </w:rPr>
        <w:t>3.4如投标人为生产制造厂商，必须提供生产制造许可证明材料。代理经销商必须提供厂家授权的代理证明材料；</w:t>
      </w:r>
    </w:p>
    <w:p>
      <w:pPr>
        <w:spacing w:line="360" w:lineRule="auto"/>
        <w:jc w:val="left"/>
        <w:rPr>
          <w:rFonts w:ascii="仿宋" w:hAnsi="仿宋" w:eastAsia="仿宋" w:cs="仿宋"/>
          <w:sz w:val="24"/>
        </w:rPr>
      </w:pPr>
      <w:r>
        <w:rPr>
          <w:rFonts w:hint="eastAsia" w:ascii="仿宋" w:hAnsi="仿宋" w:eastAsia="仿宋" w:cs="仿宋"/>
          <w:sz w:val="24"/>
        </w:rPr>
        <w:t>四、报价货物清单及技术要求</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4.1、货物清单(详见：附件二开标一览表)　</w:t>
      </w:r>
    </w:p>
    <w:p>
      <w:pPr>
        <w:spacing w:line="360" w:lineRule="auto"/>
        <w:ind w:firstLine="480" w:firstLineChars="200"/>
        <w:jc w:val="left"/>
        <w:rPr>
          <w:rFonts w:ascii="仿宋" w:hAnsi="仿宋" w:eastAsia="仿宋" w:cs="仿宋"/>
          <w:color w:val="auto"/>
          <w:kern w:val="1"/>
          <w:sz w:val="24"/>
        </w:rPr>
      </w:pPr>
      <w:r>
        <w:rPr>
          <w:rFonts w:hint="eastAsia" w:ascii="仿宋" w:hAnsi="仿宋" w:eastAsia="仿宋" w:cs="仿宋"/>
          <w:color w:val="auto"/>
          <w:kern w:val="1"/>
          <w:sz w:val="24"/>
        </w:rPr>
        <w:t>4.2、技术要求</w:t>
      </w:r>
    </w:p>
    <w:p>
      <w:pPr>
        <w:spacing w:line="360" w:lineRule="auto"/>
        <w:ind w:firstLine="480" w:firstLineChars="200"/>
        <w:jc w:val="left"/>
        <w:rPr>
          <w:rFonts w:ascii="仿宋" w:hAnsi="仿宋" w:eastAsia="仿宋" w:cs="仿宋"/>
          <w:color w:val="auto"/>
          <w:kern w:val="1"/>
          <w:sz w:val="24"/>
        </w:rPr>
      </w:pPr>
      <w:r>
        <w:rPr>
          <w:rFonts w:hint="eastAsia" w:ascii="仿宋" w:hAnsi="仿宋" w:eastAsia="仿宋" w:cs="仿宋"/>
          <w:color w:val="auto"/>
          <w:kern w:val="1"/>
          <w:sz w:val="24"/>
        </w:rPr>
        <w:t>4.2.1、投标方必须</w:t>
      </w:r>
      <w:bookmarkStart w:id="0" w:name="_GoBack"/>
      <w:bookmarkEnd w:id="0"/>
      <w:r>
        <w:rPr>
          <w:rFonts w:hint="eastAsia" w:ascii="仿宋" w:hAnsi="仿宋" w:eastAsia="仿宋" w:cs="仿宋"/>
          <w:color w:val="auto"/>
          <w:kern w:val="1"/>
          <w:sz w:val="24"/>
        </w:rPr>
        <w:t>严格按照我公司招标文件和气动切断阀仪表数据表要求报价供货，所供产品必须符合相应国家或行业有关技术标准和安全规范要求，不符合上述要求的，按</w:t>
      </w:r>
      <w:r>
        <w:rPr>
          <w:rFonts w:hint="eastAsia" w:ascii="仿宋" w:hAnsi="仿宋" w:eastAsia="仿宋" w:cs="仿宋"/>
          <w:b/>
          <w:bCs/>
          <w:color w:val="FF0000"/>
          <w:kern w:val="1"/>
          <w:sz w:val="24"/>
        </w:rPr>
        <w:t>废标</w:t>
      </w:r>
      <w:r>
        <w:rPr>
          <w:rFonts w:hint="eastAsia" w:ascii="仿宋" w:hAnsi="仿宋" w:eastAsia="仿宋" w:cs="仿宋"/>
          <w:color w:val="auto"/>
          <w:kern w:val="1"/>
          <w:sz w:val="24"/>
        </w:rPr>
        <w:t>处理。</w:t>
      </w:r>
    </w:p>
    <w:p>
      <w:pPr>
        <w:spacing w:line="360" w:lineRule="auto"/>
        <w:ind w:firstLine="480" w:firstLineChars="200"/>
        <w:jc w:val="left"/>
        <w:rPr>
          <w:rFonts w:ascii="仿宋" w:hAnsi="仿宋" w:eastAsia="仿宋" w:cs="仿宋"/>
          <w:color w:val="auto"/>
          <w:kern w:val="1"/>
          <w:sz w:val="24"/>
        </w:rPr>
      </w:pPr>
      <w:r>
        <w:rPr>
          <w:rFonts w:hint="eastAsia" w:ascii="仿宋" w:hAnsi="仿宋" w:eastAsia="仿宋" w:cs="仿宋"/>
          <w:color w:val="auto"/>
          <w:kern w:val="1"/>
          <w:sz w:val="24"/>
        </w:rPr>
        <w:t>4.2.2、开标公示3个工作日后，拟中标方根据我公司需要在我司要求时间范围内安排我司使用部门和采购部门相关人员到气动切断阀生产厂家现场调研相关生产装备、生产能力和技术实力等，以及是否满足我司现场实际使用、供货等要求，并根据生产厂家调研报告最终结论，确认供货单位，中标方与我公司使用部门先签订技术协议，再签订产品采购合同。</w:t>
      </w:r>
    </w:p>
    <w:p>
      <w:pPr>
        <w:pStyle w:val="60"/>
        <w:shd w:val="clear" w:color="auto" w:fill="FCFCFC"/>
        <w:spacing w:before="0" w:beforeAutospacing="0" w:after="0" w:afterAutospacing="0" w:line="360" w:lineRule="auto"/>
        <w:ind w:firstLine="465"/>
        <w:rPr>
          <w:rFonts w:ascii="仿宋" w:hAnsi="仿宋" w:eastAsia="仿宋" w:cs="仿宋"/>
          <w:kern w:val="1"/>
        </w:rPr>
      </w:pPr>
      <w:r>
        <w:rPr>
          <w:rFonts w:hint="eastAsia" w:ascii="仿宋" w:hAnsi="仿宋" w:eastAsia="仿宋" w:cs="仿宋"/>
          <w:kern w:val="1"/>
        </w:rPr>
        <w:t>4.2.3、中标方必须严格按我公司招标文件中的气动切断阀仪表数据表供货；否则无条件退货，对我公司生产造成重大影响的，需承担相应的违约责任。</w:t>
      </w:r>
    </w:p>
    <w:p>
      <w:pPr>
        <w:pStyle w:val="60"/>
        <w:shd w:val="clear" w:color="auto" w:fill="FCFCFC"/>
        <w:spacing w:before="0" w:beforeAutospacing="0" w:after="0" w:afterAutospacing="0" w:line="360" w:lineRule="auto"/>
        <w:ind w:firstLine="465"/>
        <w:rPr>
          <w:rFonts w:ascii="仿宋" w:hAnsi="仿宋" w:eastAsia="仿宋" w:cs="仿宋"/>
          <w:kern w:val="1"/>
        </w:rPr>
      </w:pPr>
      <w:r>
        <w:rPr>
          <w:rFonts w:hint="eastAsia" w:ascii="仿宋" w:hAnsi="仿宋" w:eastAsia="仿宋" w:cs="仿宋"/>
          <w:kern w:val="1"/>
        </w:rPr>
        <w:t>4.2.4、投标文件中必须根据气动切断阀仪表数据表</w:t>
      </w:r>
      <w:r>
        <w:rPr>
          <w:rFonts w:hint="eastAsia" w:ascii="仿宋" w:hAnsi="仿宋" w:eastAsia="仿宋" w:cs="仿宋"/>
          <w:b/>
          <w:color w:val="FF0000"/>
          <w:kern w:val="1"/>
        </w:rPr>
        <w:t>提供相关产品的API607防火认证和SIL2认证证明材料</w:t>
      </w:r>
      <w:r>
        <w:rPr>
          <w:rFonts w:hint="eastAsia" w:ascii="仿宋" w:hAnsi="仿宋" w:eastAsia="仿宋" w:cs="仿宋"/>
          <w:kern w:val="1"/>
        </w:rPr>
        <w:t>；</w:t>
      </w:r>
    </w:p>
    <w:p>
      <w:pPr>
        <w:spacing w:line="360" w:lineRule="auto"/>
        <w:ind w:firstLine="480" w:firstLineChars="200"/>
        <w:jc w:val="left"/>
        <w:rPr>
          <w:rFonts w:hint="eastAsia" w:ascii="仿宋" w:hAnsi="仿宋" w:eastAsia="仿宋" w:cs="仿宋"/>
          <w:color w:val="auto"/>
          <w:kern w:val="1"/>
          <w:sz w:val="24"/>
        </w:rPr>
      </w:pPr>
      <w:r>
        <w:rPr>
          <w:rFonts w:hint="eastAsia" w:ascii="仿宋" w:hAnsi="仿宋" w:eastAsia="仿宋" w:cs="仿宋"/>
          <w:color w:val="auto"/>
          <w:kern w:val="1"/>
          <w:sz w:val="24"/>
        </w:rPr>
        <w:t>以上需提供的资料均需盖投标方公章，否则视为</w:t>
      </w:r>
      <w:r>
        <w:rPr>
          <w:rFonts w:hint="eastAsia" w:ascii="仿宋" w:hAnsi="仿宋" w:eastAsia="仿宋" w:cs="仿宋"/>
          <w:b/>
          <w:color w:val="FF0000"/>
          <w:kern w:val="1"/>
          <w:sz w:val="24"/>
        </w:rPr>
        <w:t>无效</w:t>
      </w:r>
      <w:r>
        <w:rPr>
          <w:rFonts w:hint="eastAsia" w:ascii="仿宋" w:hAnsi="仿宋" w:eastAsia="仿宋" w:cs="仿宋"/>
          <w:color w:val="auto"/>
          <w:kern w:val="1"/>
          <w:sz w:val="24"/>
        </w:rPr>
        <w:t>报价。</w:t>
      </w:r>
    </w:p>
    <w:p>
      <w:pPr>
        <w:spacing w:line="360" w:lineRule="auto"/>
        <w:ind w:firstLine="480" w:firstLineChars="200"/>
        <w:jc w:val="left"/>
        <w:rPr>
          <w:rFonts w:ascii="仿宋" w:hAnsi="仿宋" w:eastAsia="仿宋" w:cs="仿宋"/>
          <w:color w:val="auto"/>
          <w:kern w:val="1"/>
          <w:sz w:val="24"/>
        </w:rPr>
      </w:pPr>
      <w:r>
        <w:rPr>
          <w:rFonts w:hint="eastAsia" w:ascii="仿宋" w:hAnsi="仿宋" w:eastAsia="仿宋" w:cs="仿宋"/>
          <w:color w:val="auto"/>
          <w:kern w:val="1"/>
          <w:sz w:val="24"/>
        </w:rPr>
        <w:t>4.2.5、产品出厂前由买方决定是否需要进行工厂验收（密封试验、耐压试验等），投标方须配合买方验收。</w:t>
      </w:r>
    </w:p>
    <w:p>
      <w:pPr>
        <w:wordWrap w:val="0"/>
        <w:spacing w:line="360" w:lineRule="auto"/>
        <w:jc w:val="left"/>
        <w:rPr>
          <w:rFonts w:ascii="仿宋" w:hAnsi="仿宋" w:eastAsia="仿宋" w:cs="仿宋"/>
          <w:sz w:val="24"/>
        </w:rPr>
      </w:pPr>
      <w:r>
        <w:rPr>
          <w:rFonts w:hint="eastAsia" w:ascii="仿宋" w:hAnsi="仿宋" w:eastAsia="仿宋" w:cs="仿宋"/>
          <w:sz w:val="24"/>
        </w:rPr>
        <w:t>五、开标、评标及流标</w:t>
      </w:r>
    </w:p>
    <w:p>
      <w:pPr>
        <w:wordWrap w:val="0"/>
        <w:spacing w:line="360" w:lineRule="auto"/>
        <w:ind w:firstLine="480" w:firstLineChars="200"/>
        <w:jc w:val="left"/>
        <w:rPr>
          <w:rFonts w:ascii="仿宋" w:hAnsi="仿宋" w:eastAsia="仿宋" w:cs="仿宋"/>
          <w:sz w:val="24"/>
        </w:rPr>
      </w:pPr>
      <w:r>
        <w:rPr>
          <w:rFonts w:hint="eastAsia" w:ascii="仿宋" w:hAnsi="仿宋" w:eastAsia="仿宋" w:cs="仿宋"/>
          <w:sz w:val="24"/>
        </w:rPr>
        <w:t>1、开标</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由招标方评标小组在确定的开标时间对报价书启封，评标小组首先对投标文件完整性检查和投标人资格符合性进行审查。</w:t>
      </w:r>
    </w:p>
    <w:p>
      <w:pPr>
        <w:numPr>
          <w:ilvl w:val="0"/>
          <w:numId w:val="1"/>
        </w:numPr>
        <w:spacing w:line="360" w:lineRule="auto"/>
        <w:ind w:firstLine="480" w:firstLineChars="200"/>
        <w:jc w:val="left"/>
        <w:rPr>
          <w:rFonts w:ascii="仿宋" w:hAnsi="仿宋" w:eastAsia="仿宋" w:cs="仿宋"/>
          <w:color w:val="FF0000"/>
          <w:sz w:val="24"/>
        </w:rPr>
      </w:pPr>
      <w:r>
        <w:rPr>
          <w:rFonts w:hint="eastAsia" w:ascii="仿宋" w:hAnsi="仿宋" w:eastAsia="仿宋" w:cs="仿宋"/>
          <w:sz w:val="24"/>
        </w:rPr>
        <w:t>评标</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2.1、综合</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采取综合评审方法进行打分，具体按价格得分、技术得分、商务得分（得分比例根据货物内容确定）三个方面进行评审，并按综合得分由高到低顺序推选中标候选人。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2.2、通用（</w:t>
      </w:r>
      <w:r>
        <w:rPr>
          <w:rFonts w:hint="eastAsia" w:ascii="仿宋" w:hAnsi="仿宋" w:eastAsia="仿宋" w:cs="仿宋"/>
          <w:bCs/>
          <w:color w:val="FF0000"/>
          <w:sz w:val="24"/>
        </w:rPr>
        <w:t>本次采用该种评标方式</w:t>
      </w:r>
      <w:r>
        <w:rPr>
          <w:rFonts w:hint="eastAsia" w:ascii="仿宋" w:hAnsi="仿宋" w:eastAsia="仿宋" w:cs="仿宋"/>
          <w:bCs/>
          <w:sz w:val="24"/>
        </w:rPr>
        <w:t>）</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2.2.1、质量合格前提下，合计总价最低为中标候选人。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2.2.2、同等价格下，质量指标、售后服务更好的为中标候选人。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2.2.3、同等价格、同等质量下，现有供应方为中标候选人。</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3、中标候选人的确定标准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在最大限度地满足招标文件实质性要求前提下，按照招标文件中规定的各项因素进行评审，按排名由高到低顺序确定中标候选人。中标候选人数量见报价须知。</w:t>
      </w:r>
    </w:p>
    <w:p>
      <w:pPr>
        <w:pStyle w:val="8"/>
        <w:spacing w:line="360" w:lineRule="auto"/>
        <w:ind w:left="0" w:firstLine="480" w:firstLineChars="200"/>
        <w:rPr>
          <w:rFonts w:ascii="仿宋" w:hAnsi="仿宋" w:eastAsia="仿宋" w:cs="仿宋"/>
          <w:bCs/>
          <w:sz w:val="24"/>
          <w:szCs w:val="24"/>
        </w:rPr>
      </w:pPr>
      <w:r>
        <w:rPr>
          <w:rFonts w:hint="eastAsia" w:ascii="仿宋" w:hAnsi="仿宋" w:eastAsia="仿宋" w:cs="仿宋"/>
          <w:bCs/>
          <w:sz w:val="24"/>
          <w:szCs w:val="24"/>
        </w:rPr>
        <w:t>4、中标通知书</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4.2、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5、流标</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5.1、招标方发现有串标、陪标等扰乱我方经营秩序的恶劣情况，本次招标流标，且不得再参与我公司今后的招标。</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5.2、投标单位不足3家的，本次招标按流标处理。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6、废标</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6.1、凡投标方不具备生产经营资质的，或招标文件填写不完整、报价有空项的，或不符合招标方技术要求的，经我司评标小组评定，作废标处理。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6.2、有效投标单位不足3家的，本次招标项目按废标处理。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6.3、排名第一的中标候选人放弃中标、因不可抗力不能履行合同、不按照招标文件要求提交履约保证金，或者被查实存在影响中标结果的违法行为等情形，不符合中标条件的，本次招标按废标处理。</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7、其他注意事项</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7.1、投标方应保证产品各项指标符合国标，无国标强制要求的应符合我方使用要求，否则应及时调换或退货处理。</w:t>
      </w:r>
    </w:p>
    <w:p>
      <w:pPr>
        <w:pStyle w:val="3"/>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7.2、如因中标方原因，对我司生产造成影响的，投标保证金将不予退还。如影响严重的，我司将依法追究投标方相关责任。</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7.3、中标供应商有下列情形之一的，我司有权依法追究投标方相关责任并拒绝投标方参与我司招标工作且投标保证金将不予退还。</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7.3.1、经查实提供虚假信息，有欺诈行为的；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7.3.2、存在串通投标等不正当竞争行为的；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7.3.3、经查实有商业贿赂行为的；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7.3.4、中标后无正当理由不与采购人签订合同的；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7.3.5、将中标项目转让给他人或者在投标文件中未说明，将中标项目分包给他人的；</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7.3.6、提供不合格工程、物资或服务的；</w:t>
      </w:r>
    </w:p>
    <w:p>
      <w:pPr>
        <w:spacing w:line="360" w:lineRule="auto"/>
        <w:ind w:firstLine="480" w:firstLineChars="200"/>
        <w:jc w:val="left"/>
        <w:rPr>
          <w:rFonts w:ascii="仿宋" w:hAnsi="仿宋" w:eastAsia="仿宋" w:cs="仿宋"/>
          <w:sz w:val="24"/>
        </w:rPr>
      </w:pPr>
      <w:r>
        <w:rPr>
          <w:rFonts w:hint="eastAsia" w:ascii="仿宋" w:hAnsi="仿宋" w:eastAsia="仿宋" w:cs="仿宋"/>
          <w:bCs/>
          <w:sz w:val="24"/>
        </w:rPr>
        <w:t>7.3.7、拒绝履行合同义务的。</w:t>
      </w:r>
    </w:p>
    <w:p>
      <w:pPr>
        <w:spacing w:line="360" w:lineRule="auto"/>
        <w:ind w:firstLine="480" w:firstLineChars="200"/>
        <w:jc w:val="left"/>
        <w:rPr>
          <w:rFonts w:ascii="仿宋" w:hAnsi="仿宋" w:eastAsia="仿宋" w:cs="仿宋"/>
          <w:sz w:val="24"/>
        </w:rPr>
        <w:sectPr>
          <w:headerReference r:id="rId3" w:type="default"/>
          <w:footerReference r:id="rId4" w:type="default"/>
          <w:pgSz w:w="11906" w:h="16838"/>
          <w:pgMar w:top="1134" w:right="1021" w:bottom="907" w:left="1361" w:header="851" w:footer="992" w:gutter="0"/>
          <w:cols w:space="720" w:num="1"/>
          <w:docGrid w:type="lines" w:linePitch="312" w:charSpace="0"/>
        </w:sectPr>
      </w:pPr>
    </w:p>
    <w:p>
      <w:pPr>
        <w:pStyle w:val="2"/>
        <w:spacing w:line="360" w:lineRule="auto"/>
        <w:jc w:val="left"/>
        <w:rPr>
          <w:rFonts w:ascii="仿宋" w:hAnsi="仿宋" w:eastAsia="仿宋" w:cs="仿宋"/>
          <w:sz w:val="24"/>
        </w:rPr>
      </w:pPr>
      <w:r>
        <w:rPr>
          <w:rFonts w:hint="eastAsia" w:ascii="仿宋" w:hAnsi="仿宋" w:eastAsia="仿宋" w:cs="仿宋"/>
          <w:b/>
          <w:bCs/>
          <w:sz w:val="24"/>
        </w:rPr>
        <w:t>附件一</w:t>
      </w:r>
    </w:p>
    <w:p>
      <w:pPr>
        <w:pStyle w:val="2"/>
        <w:spacing w:line="360" w:lineRule="auto"/>
        <w:rPr>
          <w:rFonts w:ascii="仿宋" w:hAnsi="仿宋" w:eastAsia="仿宋" w:cs="仿宋"/>
          <w:sz w:val="24"/>
        </w:rPr>
      </w:pPr>
      <w:r>
        <w:rPr>
          <w:rFonts w:hint="eastAsia" w:ascii="仿宋" w:hAnsi="仿宋" w:eastAsia="仿宋" w:cs="仿宋"/>
          <w:szCs w:val="44"/>
        </w:rPr>
        <w:t>承诺函</w:t>
      </w:r>
    </w:p>
    <w:p>
      <w:pPr>
        <w:spacing w:line="360" w:lineRule="auto"/>
        <w:rPr>
          <w:rFonts w:ascii="仿宋" w:hAnsi="仿宋" w:eastAsia="仿宋" w:cs="仿宋"/>
          <w:sz w:val="24"/>
        </w:rPr>
      </w:pPr>
    </w:p>
    <w:p>
      <w:pPr>
        <w:tabs>
          <w:tab w:val="left" w:pos="180"/>
        </w:tabs>
        <w:wordWrap w:val="0"/>
        <w:spacing w:line="360" w:lineRule="auto"/>
        <w:rPr>
          <w:rFonts w:ascii="仿宋" w:hAnsi="仿宋" w:eastAsia="仿宋" w:cs="仿宋"/>
          <w:kern w:val="1"/>
          <w:sz w:val="24"/>
        </w:rPr>
      </w:pPr>
      <w:r>
        <w:rPr>
          <w:rFonts w:hint="eastAsia" w:ascii="仿宋" w:hAnsi="仿宋" w:eastAsia="仿宋" w:cs="仿宋"/>
          <w:kern w:val="1"/>
          <w:sz w:val="24"/>
        </w:rPr>
        <w:t>镇江海纳川物流产业发展有限责任公司：</w:t>
      </w:r>
    </w:p>
    <w:p>
      <w:pPr>
        <w:wordWrap w:val="0"/>
        <w:spacing w:line="360" w:lineRule="auto"/>
        <w:ind w:left="240" w:firstLine="480" w:firstLineChars="200"/>
        <w:rPr>
          <w:rFonts w:ascii="仿宋" w:hAnsi="仿宋" w:eastAsia="仿宋" w:cs="仿宋"/>
          <w:kern w:val="1"/>
          <w:sz w:val="24"/>
        </w:rPr>
      </w:pP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u w:val="single"/>
        </w:rPr>
        <w:t xml:space="preserve">                       </w:t>
      </w:r>
      <w:r>
        <w:rPr>
          <w:rFonts w:hint="eastAsia" w:ascii="仿宋" w:hAnsi="仿宋" w:eastAsia="仿宋" w:cs="仿宋"/>
          <w:kern w:val="1"/>
          <w:sz w:val="24"/>
        </w:rPr>
        <w:t>(投标单位全称)授权</w:t>
      </w:r>
      <w:r>
        <w:rPr>
          <w:rFonts w:hint="eastAsia" w:ascii="仿宋" w:hAnsi="仿宋" w:eastAsia="仿宋" w:cs="仿宋"/>
          <w:kern w:val="1"/>
          <w:sz w:val="24"/>
          <w:u w:val="single"/>
        </w:rPr>
        <w:t xml:space="preserve">           </w:t>
      </w:r>
      <w:r>
        <w:rPr>
          <w:rFonts w:hint="eastAsia" w:ascii="仿宋" w:hAnsi="仿宋" w:eastAsia="仿宋" w:cs="仿宋"/>
          <w:kern w:val="1"/>
          <w:sz w:val="24"/>
        </w:rPr>
        <w:t>(全权代表姓名)</w:t>
      </w:r>
      <w:r>
        <w:rPr>
          <w:rFonts w:hint="eastAsia" w:ascii="仿宋" w:hAnsi="仿宋" w:eastAsia="仿宋" w:cs="仿宋"/>
          <w:kern w:val="1"/>
          <w:sz w:val="24"/>
          <w:u w:val="single"/>
        </w:rPr>
        <w:t xml:space="preserve">             </w:t>
      </w:r>
      <w:r>
        <w:rPr>
          <w:rFonts w:hint="eastAsia" w:ascii="仿宋" w:hAnsi="仿宋" w:eastAsia="仿宋" w:cs="仿宋"/>
          <w:kern w:val="1"/>
          <w:sz w:val="24"/>
        </w:rPr>
        <w:t>(职务、职称)为全权代表，参加贵方组织的招标有关活动，并对该项目进行投标。为此：</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1、提供投标须知规定的全部投标文件：包括正本</w:t>
      </w:r>
      <w:r>
        <w:rPr>
          <w:rFonts w:hint="eastAsia" w:ascii="仿宋" w:hAnsi="仿宋" w:eastAsia="仿宋" w:cs="仿宋"/>
          <w:kern w:val="1"/>
          <w:sz w:val="24"/>
          <w:u w:val="single"/>
        </w:rPr>
        <w:t xml:space="preserve">    </w:t>
      </w:r>
      <w:r>
        <w:rPr>
          <w:rFonts w:hint="eastAsia" w:ascii="仿宋" w:hAnsi="仿宋" w:eastAsia="仿宋" w:cs="仿宋"/>
          <w:kern w:val="1"/>
          <w:sz w:val="24"/>
        </w:rPr>
        <w:t>份，副本</w:t>
      </w:r>
      <w:r>
        <w:rPr>
          <w:rFonts w:hint="eastAsia" w:ascii="仿宋" w:hAnsi="仿宋" w:eastAsia="仿宋" w:cs="仿宋"/>
          <w:kern w:val="1"/>
          <w:sz w:val="24"/>
          <w:u w:val="single"/>
        </w:rPr>
        <w:t xml:space="preserve">    </w:t>
      </w:r>
      <w:r>
        <w:rPr>
          <w:rFonts w:hint="eastAsia" w:ascii="仿宋" w:hAnsi="仿宋" w:eastAsia="仿宋" w:cs="仿宋"/>
          <w:kern w:val="1"/>
          <w:sz w:val="24"/>
        </w:rPr>
        <w:t>份；</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2、投标项目的总投标价见开标一览表。</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3、我方保证遵守招标文件中的全部规定。</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4、我方保证忠实地执行双方签订的合同,并承担合同规定的责任义务。</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sz w:val="24"/>
          <w:shd w:val="clear" w:color="auto" w:fill="FFFFFF"/>
        </w:rPr>
        <w:t>5、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wordWrap w:val="0"/>
        <w:spacing w:line="360" w:lineRule="auto"/>
        <w:ind w:firstLine="480" w:firstLineChars="200"/>
        <w:jc w:val="left"/>
        <w:rPr>
          <w:rFonts w:ascii="仿宋" w:hAnsi="仿宋" w:eastAsia="仿宋" w:cs="仿宋"/>
          <w:sz w:val="24"/>
          <w:shd w:val="clear" w:color="auto" w:fill="FFFFFF"/>
        </w:rPr>
      </w:pPr>
      <w:r>
        <w:rPr>
          <w:rFonts w:hint="eastAsia" w:ascii="仿宋" w:hAnsi="仿宋" w:eastAsia="仿宋" w:cs="仿宋"/>
          <w:kern w:val="1"/>
          <w:sz w:val="24"/>
        </w:rPr>
        <w:t>6、愿意向贵方提供任何与该项投标有关的数据、情况和技术资料，</w:t>
      </w:r>
      <w:r>
        <w:rPr>
          <w:rFonts w:hint="eastAsia" w:ascii="仿宋" w:hAnsi="仿宋" w:eastAsia="仿宋" w:cs="仿宋"/>
          <w:sz w:val="24"/>
          <w:shd w:val="clear" w:color="auto" w:fill="FFFFFF"/>
        </w:rPr>
        <w:t>完全理解贵方不一定接受最低报价或收到的任何报价。</w:t>
      </w:r>
    </w:p>
    <w:p>
      <w:pPr>
        <w:wordWrap w:val="0"/>
        <w:spacing w:line="360" w:lineRule="auto"/>
        <w:ind w:firstLine="480" w:firstLineChars="200"/>
        <w:jc w:val="left"/>
        <w:rPr>
          <w:rFonts w:ascii="仿宋" w:hAnsi="仿宋" w:eastAsia="仿宋" w:cs="仿宋"/>
          <w:kern w:val="1"/>
          <w:sz w:val="24"/>
        </w:rPr>
      </w:pPr>
      <w:r>
        <w:rPr>
          <w:rFonts w:hint="eastAsia" w:ascii="仿宋" w:hAnsi="仿宋" w:eastAsia="仿宋" w:cs="仿宋"/>
          <w:kern w:val="1"/>
          <w:sz w:val="24"/>
        </w:rPr>
        <w:t>7、在规定的开标时间后，若我方违反招标文件相关条款的规定，则我方将放弃索回投标保证金的权利。</w:t>
      </w:r>
    </w:p>
    <w:p>
      <w:pPr>
        <w:wordWrap w:val="0"/>
        <w:spacing w:beforeLines="50" w:line="360" w:lineRule="auto"/>
        <w:jc w:val="left"/>
        <w:rPr>
          <w:rFonts w:ascii="仿宋" w:hAnsi="仿宋" w:eastAsia="仿宋" w:cs="仿宋"/>
          <w:kern w:val="1"/>
          <w:sz w:val="24"/>
        </w:rPr>
      </w:pPr>
    </w:p>
    <w:p>
      <w:pPr>
        <w:wordWrap w:val="0"/>
        <w:spacing w:beforeLines="50" w:line="360" w:lineRule="auto"/>
        <w:jc w:val="left"/>
        <w:rPr>
          <w:rFonts w:ascii="仿宋" w:hAnsi="仿宋" w:eastAsia="仿宋" w:cs="仿宋"/>
          <w:kern w:val="1"/>
          <w:sz w:val="24"/>
        </w:rPr>
      </w:pPr>
      <w:r>
        <w:rPr>
          <w:rFonts w:hint="eastAsia" w:ascii="仿宋" w:hAnsi="仿宋" w:eastAsia="仿宋" w:cs="仿宋"/>
          <w:kern w:val="1"/>
          <w:sz w:val="24"/>
        </w:rPr>
        <w:t>全权代表（签字）：                   投标单位（盖章）：</w:t>
      </w:r>
    </w:p>
    <w:p>
      <w:pPr>
        <w:wordWrap w:val="0"/>
        <w:spacing w:beforeLines="50" w:line="360" w:lineRule="auto"/>
        <w:jc w:val="left"/>
        <w:rPr>
          <w:rFonts w:ascii="仿宋" w:hAnsi="仿宋" w:eastAsia="仿宋" w:cs="仿宋"/>
          <w:kern w:val="1"/>
          <w:sz w:val="24"/>
        </w:rPr>
      </w:pPr>
      <w:r>
        <w:rPr>
          <w:rFonts w:hint="eastAsia" w:ascii="仿宋" w:hAnsi="仿宋" w:eastAsia="仿宋" w:cs="仿宋"/>
          <w:kern w:val="1"/>
          <w:sz w:val="24"/>
        </w:rPr>
        <w:t xml:space="preserve">日  期：          </w:t>
      </w: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spacing w:line="360" w:lineRule="auto"/>
        <w:rPr>
          <w:rFonts w:ascii="仿宋" w:hAnsi="仿宋" w:eastAsia="仿宋" w:cs="仿宋"/>
          <w:b/>
          <w:bCs/>
          <w:sz w:val="24"/>
        </w:rPr>
      </w:pPr>
    </w:p>
    <w:p>
      <w:pPr>
        <w:rPr>
          <w:rFonts w:ascii="仿宋" w:hAnsi="仿宋" w:eastAsia="仿宋" w:cs="仿宋"/>
          <w:b/>
          <w:bCs/>
          <w:sz w:val="24"/>
        </w:rPr>
      </w:pPr>
    </w:p>
    <w:p>
      <w:pPr>
        <w:rPr>
          <w:rFonts w:ascii="仿宋" w:hAnsi="仿宋" w:eastAsia="仿宋" w:cs="仿宋"/>
          <w:sz w:val="24"/>
        </w:rPr>
      </w:pPr>
      <w:r>
        <w:rPr>
          <w:rFonts w:hint="eastAsia" w:ascii="仿宋" w:hAnsi="仿宋" w:eastAsia="仿宋" w:cs="仿宋"/>
          <w:b/>
          <w:bCs/>
          <w:sz w:val="24"/>
        </w:rPr>
        <w:t>附件二</w:t>
      </w:r>
    </w:p>
    <w:p>
      <w:pPr>
        <w:pStyle w:val="2"/>
        <w:spacing w:line="240" w:lineRule="auto"/>
        <w:rPr>
          <w:rFonts w:ascii="仿宋" w:hAnsi="仿宋" w:eastAsia="仿宋" w:cs="仿宋"/>
          <w:sz w:val="36"/>
          <w:szCs w:val="36"/>
        </w:rPr>
      </w:pPr>
      <w:r>
        <w:rPr>
          <w:rFonts w:hint="eastAsia" w:ascii="仿宋" w:hAnsi="仿宋" w:eastAsia="仿宋" w:cs="仿宋"/>
          <w:sz w:val="36"/>
          <w:szCs w:val="36"/>
        </w:rPr>
        <w:t>开标一览表</w:t>
      </w:r>
    </w:p>
    <w:p>
      <w:pPr>
        <w:jc w:val="left"/>
        <w:rPr>
          <w:rFonts w:ascii="仿宋" w:hAnsi="仿宋" w:eastAsia="仿宋" w:cs="仿宋"/>
          <w:kern w:val="1"/>
          <w:sz w:val="24"/>
        </w:rPr>
      </w:pPr>
      <w:r>
        <w:rPr>
          <w:rFonts w:hint="eastAsia" w:ascii="仿宋" w:hAnsi="仿宋" w:eastAsia="仿宋" w:cs="仿宋"/>
          <w:kern w:val="1"/>
          <w:sz w:val="24"/>
        </w:rPr>
        <w:t>报价货币：人民币(元)</w:t>
      </w:r>
    </w:p>
    <w:tbl>
      <w:tblPr>
        <w:tblStyle w:val="9"/>
        <w:tblpPr w:leftFromText="180" w:rightFromText="180" w:vertAnchor="text" w:horzAnchor="margin" w:tblpX="-323" w:tblpY="214"/>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451"/>
        <w:gridCol w:w="2552"/>
        <w:gridCol w:w="567"/>
        <w:gridCol w:w="567"/>
        <w:gridCol w:w="992"/>
        <w:gridCol w:w="992"/>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34"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序号</w:t>
            </w:r>
          </w:p>
        </w:tc>
        <w:tc>
          <w:tcPr>
            <w:tcW w:w="1417"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标的名称</w:t>
            </w:r>
          </w:p>
        </w:tc>
        <w:tc>
          <w:tcPr>
            <w:tcW w:w="1451"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型号</w:t>
            </w:r>
          </w:p>
        </w:tc>
        <w:tc>
          <w:tcPr>
            <w:tcW w:w="2552"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规格</w:t>
            </w:r>
          </w:p>
        </w:tc>
        <w:tc>
          <w:tcPr>
            <w:tcW w:w="567"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单位</w:t>
            </w:r>
          </w:p>
        </w:tc>
        <w:tc>
          <w:tcPr>
            <w:tcW w:w="567"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数量</w:t>
            </w:r>
          </w:p>
        </w:tc>
        <w:tc>
          <w:tcPr>
            <w:tcW w:w="992"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单价  （含税）</w:t>
            </w:r>
          </w:p>
        </w:tc>
        <w:tc>
          <w:tcPr>
            <w:tcW w:w="992" w:type="dxa"/>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总价   （含税）</w:t>
            </w:r>
          </w:p>
        </w:tc>
        <w:tc>
          <w:tcPr>
            <w:tcW w:w="742" w:type="dxa"/>
            <w:vAlign w:val="center"/>
          </w:tcPr>
          <w:p>
            <w:pPr>
              <w:widowControl/>
              <w:spacing w:line="0" w:lineRule="atLeast"/>
              <w:jc w:val="center"/>
              <w:rPr>
                <w:rFonts w:ascii="仿宋" w:hAnsi="仿宋" w:eastAsia="仿宋" w:cs="仿宋"/>
                <w:color w:val="auto"/>
                <w:szCs w:val="21"/>
              </w:rPr>
            </w:pPr>
            <w:r>
              <w:rPr>
                <w:rFonts w:hint="eastAsia" w:ascii="仿宋" w:hAnsi="仿宋" w:eastAsia="仿宋" w:cs="仿宋"/>
                <w:color w:val="auto"/>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34" w:type="dxa"/>
            <w:vAlign w:val="center"/>
          </w:tcPr>
          <w:p>
            <w:pPr>
              <w:jc w:val="center"/>
              <w:rPr>
                <w:rFonts w:ascii="宋体" w:hAnsi="宋体" w:cs="宋体"/>
                <w:sz w:val="18"/>
                <w:szCs w:val="18"/>
              </w:rPr>
            </w:pPr>
            <w:r>
              <w:rPr>
                <w:rFonts w:hint="eastAsia"/>
                <w:sz w:val="18"/>
                <w:szCs w:val="18"/>
              </w:rPr>
              <w:t>1</w:t>
            </w:r>
          </w:p>
        </w:tc>
        <w:tc>
          <w:tcPr>
            <w:tcW w:w="1417" w:type="dxa"/>
            <w:vAlign w:val="center"/>
          </w:tcPr>
          <w:p>
            <w:pPr>
              <w:rPr>
                <w:rFonts w:ascii="宋体" w:hAnsi="宋体" w:cs="宋体"/>
                <w:sz w:val="16"/>
                <w:szCs w:val="16"/>
              </w:rPr>
            </w:pPr>
            <w:r>
              <w:rPr>
                <w:rFonts w:hint="eastAsia"/>
                <w:sz w:val="16"/>
                <w:szCs w:val="16"/>
              </w:rPr>
              <w:t>气动切断阀</w:t>
            </w:r>
          </w:p>
        </w:tc>
        <w:tc>
          <w:tcPr>
            <w:tcW w:w="1451" w:type="dxa"/>
            <w:vAlign w:val="center"/>
          </w:tcPr>
          <w:p>
            <w:pPr>
              <w:rPr>
                <w:rFonts w:ascii="宋体" w:hAnsi="宋体" w:cs="宋体"/>
                <w:sz w:val="16"/>
                <w:szCs w:val="16"/>
              </w:rPr>
            </w:pPr>
            <w:r>
              <w:rPr>
                <w:rFonts w:hint="eastAsia"/>
                <w:sz w:val="16"/>
                <w:szCs w:val="16"/>
              </w:rPr>
              <w:t>附规格数据表</w:t>
            </w:r>
          </w:p>
        </w:tc>
        <w:tc>
          <w:tcPr>
            <w:tcW w:w="2552" w:type="dxa"/>
            <w:vAlign w:val="center"/>
          </w:tcPr>
          <w:p>
            <w:pPr>
              <w:rPr>
                <w:rFonts w:ascii="宋体" w:hAnsi="宋体" w:cs="宋体"/>
                <w:sz w:val="16"/>
                <w:szCs w:val="16"/>
              </w:rPr>
            </w:pPr>
            <w:r>
              <w:rPr>
                <w:rFonts w:hint="eastAsia"/>
                <w:sz w:val="16"/>
                <w:szCs w:val="16"/>
              </w:rPr>
              <w:t xml:space="preserve">DN200    </w:t>
            </w:r>
          </w:p>
        </w:tc>
        <w:tc>
          <w:tcPr>
            <w:tcW w:w="567" w:type="dxa"/>
            <w:vAlign w:val="center"/>
          </w:tcPr>
          <w:p>
            <w:pPr>
              <w:jc w:val="center"/>
              <w:rPr>
                <w:rFonts w:ascii="宋体" w:hAnsi="宋体" w:cs="宋体"/>
                <w:sz w:val="16"/>
                <w:szCs w:val="16"/>
              </w:rPr>
            </w:pPr>
            <w:r>
              <w:rPr>
                <w:rFonts w:hint="eastAsia"/>
                <w:sz w:val="16"/>
                <w:szCs w:val="16"/>
              </w:rPr>
              <w:t>只</w:t>
            </w:r>
          </w:p>
        </w:tc>
        <w:tc>
          <w:tcPr>
            <w:tcW w:w="567" w:type="dxa"/>
            <w:vAlign w:val="center"/>
          </w:tcPr>
          <w:p>
            <w:pPr>
              <w:jc w:val="center"/>
              <w:rPr>
                <w:rFonts w:ascii="宋体" w:hAnsi="宋体" w:cs="宋体"/>
                <w:sz w:val="16"/>
                <w:szCs w:val="16"/>
              </w:rPr>
            </w:pPr>
            <w:r>
              <w:rPr>
                <w:rFonts w:hint="eastAsia"/>
                <w:sz w:val="16"/>
                <w:szCs w:val="16"/>
              </w:rPr>
              <w:t>1</w:t>
            </w:r>
          </w:p>
        </w:tc>
        <w:tc>
          <w:tcPr>
            <w:tcW w:w="992" w:type="dxa"/>
            <w:vAlign w:val="center"/>
          </w:tcPr>
          <w:p>
            <w:pPr>
              <w:widowControl/>
              <w:spacing w:line="0" w:lineRule="atLeast"/>
              <w:jc w:val="center"/>
              <w:rPr>
                <w:rFonts w:ascii="仿宋" w:hAnsi="仿宋" w:eastAsia="仿宋" w:cs="仿宋"/>
                <w:szCs w:val="21"/>
              </w:rPr>
            </w:pPr>
          </w:p>
        </w:tc>
        <w:tc>
          <w:tcPr>
            <w:tcW w:w="992" w:type="dxa"/>
            <w:vAlign w:val="center"/>
          </w:tcPr>
          <w:p>
            <w:pPr>
              <w:widowControl/>
              <w:spacing w:line="0" w:lineRule="atLeast"/>
              <w:jc w:val="center"/>
              <w:rPr>
                <w:rFonts w:ascii="仿宋" w:hAnsi="仿宋" w:eastAsia="仿宋" w:cs="仿宋"/>
                <w:szCs w:val="21"/>
              </w:rPr>
            </w:pPr>
          </w:p>
        </w:tc>
        <w:tc>
          <w:tcPr>
            <w:tcW w:w="742"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34" w:type="dxa"/>
            <w:vAlign w:val="center"/>
          </w:tcPr>
          <w:p>
            <w:pPr>
              <w:jc w:val="center"/>
              <w:rPr>
                <w:rFonts w:ascii="宋体" w:hAnsi="宋体" w:cs="宋体"/>
                <w:sz w:val="18"/>
                <w:szCs w:val="18"/>
              </w:rPr>
            </w:pPr>
            <w:r>
              <w:rPr>
                <w:rFonts w:hint="eastAsia"/>
                <w:sz w:val="18"/>
                <w:szCs w:val="18"/>
              </w:rPr>
              <w:t>2</w:t>
            </w:r>
          </w:p>
        </w:tc>
        <w:tc>
          <w:tcPr>
            <w:tcW w:w="1417" w:type="dxa"/>
            <w:vAlign w:val="center"/>
          </w:tcPr>
          <w:p>
            <w:pPr>
              <w:rPr>
                <w:rFonts w:ascii="宋体" w:hAnsi="宋体" w:cs="宋体"/>
                <w:sz w:val="16"/>
                <w:szCs w:val="16"/>
              </w:rPr>
            </w:pPr>
            <w:r>
              <w:rPr>
                <w:rFonts w:hint="eastAsia"/>
                <w:sz w:val="16"/>
                <w:szCs w:val="16"/>
              </w:rPr>
              <w:t>气动切断阀</w:t>
            </w:r>
          </w:p>
        </w:tc>
        <w:tc>
          <w:tcPr>
            <w:tcW w:w="1451" w:type="dxa"/>
            <w:vAlign w:val="center"/>
          </w:tcPr>
          <w:p>
            <w:pPr>
              <w:rPr>
                <w:rFonts w:ascii="宋体" w:hAnsi="宋体" w:cs="宋体"/>
                <w:sz w:val="16"/>
                <w:szCs w:val="16"/>
              </w:rPr>
            </w:pPr>
            <w:r>
              <w:rPr>
                <w:rFonts w:hint="eastAsia"/>
                <w:sz w:val="16"/>
                <w:szCs w:val="16"/>
              </w:rPr>
              <w:t>附规格数据表</w:t>
            </w:r>
          </w:p>
        </w:tc>
        <w:tc>
          <w:tcPr>
            <w:tcW w:w="2552" w:type="dxa"/>
            <w:vAlign w:val="center"/>
          </w:tcPr>
          <w:p>
            <w:pPr>
              <w:rPr>
                <w:rFonts w:ascii="宋体" w:hAnsi="宋体" w:cs="宋体"/>
                <w:sz w:val="16"/>
                <w:szCs w:val="16"/>
              </w:rPr>
            </w:pPr>
            <w:r>
              <w:rPr>
                <w:rFonts w:hint="eastAsia"/>
                <w:sz w:val="16"/>
                <w:szCs w:val="16"/>
              </w:rPr>
              <w:t xml:space="preserve">DN300/400  </w:t>
            </w:r>
          </w:p>
        </w:tc>
        <w:tc>
          <w:tcPr>
            <w:tcW w:w="567" w:type="dxa"/>
            <w:vAlign w:val="center"/>
          </w:tcPr>
          <w:p>
            <w:pPr>
              <w:jc w:val="center"/>
              <w:rPr>
                <w:rFonts w:ascii="宋体" w:hAnsi="宋体" w:cs="宋体"/>
                <w:sz w:val="16"/>
                <w:szCs w:val="16"/>
              </w:rPr>
            </w:pPr>
            <w:r>
              <w:rPr>
                <w:rFonts w:hint="eastAsia"/>
                <w:sz w:val="16"/>
                <w:szCs w:val="16"/>
              </w:rPr>
              <w:t>只</w:t>
            </w:r>
          </w:p>
        </w:tc>
        <w:tc>
          <w:tcPr>
            <w:tcW w:w="567" w:type="dxa"/>
            <w:vAlign w:val="center"/>
          </w:tcPr>
          <w:p>
            <w:pPr>
              <w:jc w:val="center"/>
              <w:rPr>
                <w:rFonts w:ascii="宋体" w:hAnsi="宋体" w:cs="宋体"/>
                <w:sz w:val="16"/>
                <w:szCs w:val="16"/>
              </w:rPr>
            </w:pPr>
            <w:r>
              <w:rPr>
                <w:rFonts w:hint="eastAsia"/>
                <w:sz w:val="16"/>
                <w:szCs w:val="16"/>
              </w:rPr>
              <w:t>1</w:t>
            </w:r>
          </w:p>
        </w:tc>
        <w:tc>
          <w:tcPr>
            <w:tcW w:w="992" w:type="dxa"/>
            <w:vAlign w:val="center"/>
          </w:tcPr>
          <w:p>
            <w:pPr>
              <w:widowControl/>
              <w:spacing w:line="0" w:lineRule="atLeast"/>
              <w:jc w:val="center"/>
              <w:rPr>
                <w:rFonts w:ascii="仿宋" w:hAnsi="仿宋" w:eastAsia="仿宋" w:cs="仿宋"/>
                <w:szCs w:val="21"/>
              </w:rPr>
            </w:pPr>
          </w:p>
        </w:tc>
        <w:tc>
          <w:tcPr>
            <w:tcW w:w="992" w:type="dxa"/>
            <w:vAlign w:val="center"/>
          </w:tcPr>
          <w:p>
            <w:pPr>
              <w:widowControl/>
              <w:spacing w:line="0" w:lineRule="atLeast"/>
              <w:jc w:val="center"/>
              <w:rPr>
                <w:rFonts w:ascii="仿宋" w:hAnsi="仿宋" w:eastAsia="仿宋" w:cs="仿宋"/>
                <w:szCs w:val="21"/>
              </w:rPr>
            </w:pPr>
          </w:p>
        </w:tc>
        <w:tc>
          <w:tcPr>
            <w:tcW w:w="742"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34" w:type="dxa"/>
            <w:vAlign w:val="center"/>
          </w:tcPr>
          <w:p>
            <w:pPr>
              <w:jc w:val="center"/>
              <w:rPr>
                <w:rFonts w:ascii="宋体" w:hAnsi="宋体" w:cs="宋体"/>
                <w:sz w:val="18"/>
                <w:szCs w:val="18"/>
              </w:rPr>
            </w:pPr>
            <w:r>
              <w:rPr>
                <w:rFonts w:hint="eastAsia"/>
                <w:sz w:val="18"/>
                <w:szCs w:val="18"/>
              </w:rPr>
              <w:t>3</w:t>
            </w:r>
          </w:p>
        </w:tc>
        <w:tc>
          <w:tcPr>
            <w:tcW w:w="1417" w:type="dxa"/>
            <w:vAlign w:val="center"/>
          </w:tcPr>
          <w:p>
            <w:pPr>
              <w:rPr>
                <w:rFonts w:ascii="宋体" w:hAnsi="宋体" w:cs="宋体"/>
                <w:sz w:val="16"/>
                <w:szCs w:val="16"/>
              </w:rPr>
            </w:pPr>
            <w:r>
              <w:rPr>
                <w:rFonts w:hint="eastAsia"/>
                <w:sz w:val="16"/>
                <w:szCs w:val="16"/>
              </w:rPr>
              <w:t>不锈钢球阀</w:t>
            </w:r>
          </w:p>
        </w:tc>
        <w:tc>
          <w:tcPr>
            <w:tcW w:w="1451" w:type="dxa"/>
            <w:vAlign w:val="center"/>
          </w:tcPr>
          <w:p>
            <w:pPr>
              <w:rPr>
                <w:rFonts w:ascii="宋体" w:hAnsi="宋体" w:cs="宋体"/>
                <w:sz w:val="16"/>
                <w:szCs w:val="16"/>
              </w:rPr>
            </w:pPr>
            <w:r>
              <w:rPr>
                <w:rFonts w:hint="eastAsia"/>
                <w:sz w:val="16"/>
                <w:szCs w:val="16"/>
              </w:rPr>
              <w:t>316L</w:t>
            </w:r>
          </w:p>
        </w:tc>
        <w:tc>
          <w:tcPr>
            <w:tcW w:w="2552" w:type="dxa"/>
            <w:vAlign w:val="center"/>
          </w:tcPr>
          <w:p>
            <w:pPr>
              <w:spacing w:line="0" w:lineRule="atLeast"/>
              <w:rPr>
                <w:rFonts w:ascii="宋体" w:hAnsi="宋体" w:cs="宋体"/>
                <w:sz w:val="16"/>
                <w:szCs w:val="16"/>
              </w:rPr>
            </w:pPr>
            <w:r>
              <w:rPr>
                <w:rFonts w:hint="eastAsia"/>
                <w:sz w:val="16"/>
                <w:szCs w:val="16"/>
              </w:rPr>
              <w:t>10寸 长度335mm 法兰中心距362mm      外圆405mm 150LB 介质醋酸 温度常温</w:t>
            </w:r>
          </w:p>
        </w:tc>
        <w:tc>
          <w:tcPr>
            <w:tcW w:w="567" w:type="dxa"/>
            <w:vAlign w:val="center"/>
          </w:tcPr>
          <w:p>
            <w:pPr>
              <w:jc w:val="center"/>
              <w:rPr>
                <w:rFonts w:ascii="宋体" w:hAnsi="宋体" w:cs="宋体"/>
                <w:sz w:val="16"/>
                <w:szCs w:val="16"/>
              </w:rPr>
            </w:pPr>
            <w:r>
              <w:rPr>
                <w:rFonts w:hint="eastAsia"/>
                <w:sz w:val="16"/>
                <w:szCs w:val="16"/>
              </w:rPr>
              <w:t>只</w:t>
            </w:r>
          </w:p>
        </w:tc>
        <w:tc>
          <w:tcPr>
            <w:tcW w:w="567" w:type="dxa"/>
            <w:vAlign w:val="center"/>
          </w:tcPr>
          <w:p>
            <w:pPr>
              <w:jc w:val="center"/>
              <w:rPr>
                <w:rFonts w:ascii="宋体" w:hAnsi="宋体" w:cs="宋体"/>
                <w:sz w:val="16"/>
                <w:szCs w:val="16"/>
              </w:rPr>
            </w:pPr>
            <w:r>
              <w:rPr>
                <w:rFonts w:hint="eastAsia"/>
                <w:sz w:val="16"/>
                <w:szCs w:val="16"/>
              </w:rPr>
              <w:t>2</w:t>
            </w:r>
          </w:p>
        </w:tc>
        <w:tc>
          <w:tcPr>
            <w:tcW w:w="992" w:type="dxa"/>
            <w:vAlign w:val="center"/>
          </w:tcPr>
          <w:p>
            <w:pPr>
              <w:widowControl/>
              <w:spacing w:line="0" w:lineRule="atLeast"/>
              <w:jc w:val="center"/>
              <w:rPr>
                <w:rFonts w:ascii="仿宋" w:hAnsi="仿宋" w:eastAsia="仿宋" w:cs="仿宋"/>
                <w:szCs w:val="21"/>
              </w:rPr>
            </w:pPr>
          </w:p>
        </w:tc>
        <w:tc>
          <w:tcPr>
            <w:tcW w:w="992" w:type="dxa"/>
            <w:vAlign w:val="center"/>
          </w:tcPr>
          <w:p>
            <w:pPr>
              <w:widowControl/>
              <w:spacing w:line="0" w:lineRule="atLeast"/>
              <w:jc w:val="center"/>
              <w:rPr>
                <w:rFonts w:ascii="仿宋" w:hAnsi="仿宋" w:eastAsia="仿宋" w:cs="仿宋"/>
                <w:szCs w:val="21"/>
              </w:rPr>
            </w:pPr>
          </w:p>
        </w:tc>
        <w:tc>
          <w:tcPr>
            <w:tcW w:w="742"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34" w:type="dxa"/>
            <w:vAlign w:val="center"/>
          </w:tcPr>
          <w:p>
            <w:pPr>
              <w:jc w:val="center"/>
              <w:rPr>
                <w:rFonts w:ascii="宋体" w:hAnsi="宋体" w:cs="宋体"/>
                <w:sz w:val="18"/>
                <w:szCs w:val="18"/>
              </w:rPr>
            </w:pPr>
            <w:r>
              <w:rPr>
                <w:rFonts w:hint="eastAsia"/>
                <w:sz w:val="18"/>
                <w:szCs w:val="18"/>
              </w:rPr>
              <w:t>4</w:t>
            </w:r>
          </w:p>
        </w:tc>
        <w:tc>
          <w:tcPr>
            <w:tcW w:w="1417" w:type="dxa"/>
            <w:vAlign w:val="center"/>
          </w:tcPr>
          <w:p>
            <w:pPr>
              <w:rPr>
                <w:rFonts w:ascii="宋体" w:hAnsi="宋体" w:cs="宋体"/>
                <w:sz w:val="16"/>
                <w:szCs w:val="16"/>
              </w:rPr>
            </w:pPr>
            <w:r>
              <w:rPr>
                <w:rFonts w:hint="eastAsia"/>
                <w:sz w:val="16"/>
                <w:szCs w:val="16"/>
              </w:rPr>
              <w:t>不锈钢截止阀</w:t>
            </w:r>
          </w:p>
        </w:tc>
        <w:tc>
          <w:tcPr>
            <w:tcW w:w="1451" w:type="dxa"/>
            <w:vAlign w:val="center"/>
          </w:tcPr>
          <w:p>
            <w:pPr>
              <w:rPr>
                <w:rFonts w:ascii="宋体" w:hAnsi="宋体" w:cs="宋体"/>
                <w:sz w:val="16"/>
                <w:szCs w:val="16"/>
              </w:rPr>
            </w:pPr>
            <w:r>
              <w:rPr>
                <w:rFonts w:hint="eastAsia"/>
                <w:sz w:val="16"/>
                <w:szCs w:val="16"/>
              </w:rPr>
              <w:t>介质醋酸</w:t>
            </w:r>
          </w:p>
        </w:tc>
        <w:tc>
          <w:tcPr>
            <w:tcW w:w="2552" w:type="dxa"/>
            <w:vAlign w:val="center"/>
          </w:tcPr>
          <w:p>
            <w:pPr>
              <w:rPr>
                <w:rFonts w:ascii="宋体" w:hAnsi="宋体" w:cs="宋体"/>
                <w:sz w:val="16"/>
                <w:szCs w:val="16"/>
              </w:rPr>
            </w:pPr>
            <w:r>
              <w:rPr>
                <w:rFonts w:hint="eastAsia"/>
                <w:sz w:val="16"/>
                <w:szCs w:val="16"/>
              </w:rPr>
              <w:t>DN200 PN20 316L</w:t>
            </w:r>
          </w:p>
        </w:tc>
        <w:tc>
          <w:tcPr>
            <w:tcW w:w="567" w:type="dxa"/>
            <w:vAlign w:val="center"/>
          </w:tcPr>
          <w:p>
            <w:pPr>
              <w:jc w:val="center"/>
              <w:rPr>
                <w:rFonts w:ascii="宋体" w:hAnsi="宋体" w:cs="宋体"/>
                <w:sz w:val="16"/>
                <w:szCs w:val="16"/>
              </w:rPr>
            </w:pPr>
            <w:r>
              <w:rPr>
                <w:rFonts w:hint="eastAsia"/>
                <w:sz w:val="16"/>
                <w:szCs w:val="16"/>
              </w:rPr>
              <w:t>只</w:t>
            </w:r>
          </w:p>
        </w:tc>
        <w:tc>
          <w:tcPr>
            <w:tcW w:w="567" w:type="dxa"/>
            <w:vAlign w:val="center"/>
          </w:tcPr>
          <w:p>
            <w:pPr>
              <w:jc w:val="center"/>
              <w:rPr>
                <w:rFonts w:ascii="宋体" w:hAnsi="宋体" w:cs="宋体"/>
                <w:color w:val="auto"/>
                <w:sz w:val="18"/>
                <w:szCs w:val="18"/>
              </w:rPr>
            </w:pPr>
            <w:r>
              <w:rPr>
                <w:rFonts w:hint="eastAsia"/>
                <w:color w:val="auto"/>
                <w:sz w:val="18"/>
                <w:szCs w:val="18"/>
              </w:rPr>
              <w:t>1</w:t>
            </w:r>
          </w:p>
        </w:tc>
        <w:tc>
          <w:tcPr>
            <w:tcW w:w="992" w:type="dxa"/>
            <w:vAlign w:val="center"/>
          </w:tcPr>
          <w:p>
            <w:pPr>
              <w:widowControl/>
              <w:spacing w:line="0" w:lineRule="atLeast"/>
              <w:jc w:val="center"/>
              <w:rPr>
                <w:rFonts w:ascii="仿宋" w:hAnsi="仿宋" w:eastAsia="仿宋" w:cs="仿宋"/>
                <w:szCs w:val="21"/>
              </w:rPr>
            </w:pPr>
          </w:p>
        </w:tc>
        <w:tc>
          <w:tcPr>
            <w:tcW w:w="992" w:type="dxa"/>
            <w:vAlign w:val="center"/>
          </w:tcPr>
          <w:p>
            <w:pPr>
              <w:widowControl/>
              <w:spacing w:line="0" w:lineRule="atLeast"/>
              <w:jc w:val="center"/>
              <w:rPr>
                <w:rFonts w:ascii="仿宋" w:hAnsi="仿宋" w:eastAsia="仿宋" w:cs="仿宋"/>
                <w:szCs w:val="21"/>
              </w:rPr>
            </w:pPr>
          </w:p>
        </w:tc>
        <w:tc>
          <w:tcPr>
            <w:tcW w:w="742"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34" w:type="dxa"/>
            <w:vAlign w:val="center"/>
          </w:tcPr>
          <w:p>
            <w:pPr>
              <w:jc w:val="center"/>
              <w:rPr>
                <w:rFonts w:ascii="宋体" w:hAnsi="宋体" w:cs="宋体"/>
                <w:sz w:val="18"/>
                <w:szCs w:val="18"/>
              </w:rPr>
            </w:pPr>
            <w:r>
              <w:rPr>
                <w:rFonts w:hint="eastAsia"/>
                <w:sz w:val="18"/>
                <w:szCs w:val="18"/>
              </w:rPr>
              <w:t>5</w:t>
            </w:r>
          </w:p>
        </w:tc>
        <w:tc>
          <w:tcPr>
            <w:tcW w:w="1417" w:type="dxa"/>
            <w:vAlign w:val="center"/>
          </w:tcPr>
          <w:p>
            <w:pPr>
              <w:rPr>
                <w:rFonts w:ascii="宋体" w:hAnsi="宋体" w:cs="宋体"/>
                <w:sz w:val="16"/>
                <w:szCs w:val="16"/>
              </w:rPr>
            </w:pPr>
            <w:r>
              <w:rPr>
                <w:rFonts w:hint="eastAsia"/>
                <w:sz w:val="16"/>
                <w:szCs w:val="16"/>
              </w:rPr>
              <w:t>不锈钢截止阀</w:t>
            </w:r>
          </w:p>
        </w:tc>
        <w:tc>
          <w:tcPr>
            <w:tcW w:w="1451" w:type="dxa"/>
            <w:vAlign w:val="center"/>
          </w:tcPr>
          <w:p>
            <w:pPr>
              <w:rPr>
                <w:rFonts w:ascii="宋体" w:hAnsi="宋体" w:cs="宋体"/>
                <w:sz w:val="16"/>
                <w:szCs w:val="16"/>
              </w:rPr>
            </w:pPr>
            <w:r>
              <w:rPr>
                <w:rFonts w:hint="eastAsia"/>
                <w:sz w:val="16"/>
                <w:szCs w:val="16"/>
              </w:rPr>
              <w:t>介质醋酸</w:t>
            </w:r>
          </w:p>
        </w:tc>
        <w:tc>
          <w:tcPr>
            <w:tcW w:w="2552" w:type="dxa"/>
            <w:vAlign w:val="center"/>
          </w:tcPr>
          <w:p>
            <w:pPr>
              <w:rPr>
                <w:rFonts w:ascii="宋体" w:hAnsi="宋体" w:cs="宋体"/>
                <w:sz w:val="16"/>
                <w:szCs w:val="16"/>
              </w:rPr>
            </w:pPr>
            <w:r>
              <w:rPr>
                <w:rFonts w:hint="eastAsia"/>
                <w:sz w:val="16"/>
                <w:szCs w:val="16"/>
              </w:rPr>
              <w:t>DN250 PN20 316L</w:t>
            </w:r>
          </w:p>
        </w:tc>
        <w:tc>
          <w:tcPr>
            <w:tcW w:w="567" w:type="dxa"/>
            <w:vAlign w:val="center"/>
          </w:tcPr>
          <w:p>
            <w:pPr>
              <w:jc w:val="center"/>
              <w:rPr>
                <w:rFonts w:ascii="宋体" w:hAnsi="宋体" w:cs="宋体"/>
                <w:sz w:val="16"/>
                <w:szCs w:val="16"/>
              </w:rPr>
            </w:pPr>
            <w:r>
              <w:rPr>
                <w:rFonts w:hint="eastAsia"/>
                <w:sz w:val="16"/>
                <w:szCs w:val="16"/>
              </w:rPr>
              <w:t>只</w:t>
            </w:r>
          </w:p>
        </w:tc>
        <w:tc>
          <w:tcPr>
            <w:tcW w:w="567" w:type="dxa"/>
            <w:vAlign w:val="center"/>
          </w:tcPr>
          <w:p>
            <w:pPr>
              <w:jc w:val="center"/>
              <w:rPr>
                <w:rFonts w:ascii="宋体" w:hAnsi="宋体" w:cs="宋体"/>
                <w:color w:val="auto"/>
                <w:sz w:val="18"/>
                <w:szCs w:val="18"/>
              </w:rPr>
            </w:pPr>
            <w:r>
              <w:rPr>
                <w:rFonts w:hint="eastAsia"/>
                <w:color w:val="auto"/>
                <w:sz w:val="18"/>
                <w:szCs w:val="18"/>
              </w:rPr>
              <w:t>1</w:t>
            </w:r>
          </w:p>
        </w:tc>
        <w:tc>
          <w:tcPr>
            <w:tcW w:w="992" w:type="dxa"/>
            <w:vAlign w:val="center"/>
          </w:tcPr>
          <w:p>
            <w:pPr>
              <w:widowControl/>
              <w:spacing w:line="0" w:lineRule="atLeast"/>
              <w:jc w:val="center"/>
              <w:rPr>
                <w:rFonts w:ascii="仿宋" w:hAnsi="仿宋" w:eastAsia="仿宋" w:cs="仿宋"/>
                <w:szCs w:val="21"/>
              </w:rPr>
            </w:pPr>
          </w:p>
        </w:tc>
        <w:tc>
          <w:tcPr>
            <w:tcW w:w="992" w:type="dxa"/>
            <w:vAlign w:val="center"/>
          </w:tcPr>
          <w:p>
            <w:pPr>
              <w:widowControl/>
              <w:spacing w:line="0" w:lineRule="atLeast"/>
              <w:jc w:val="center"/>
              <w:rPr>
                <w:rFonts w:ascii="仿宋" w:hAnsi="仿宋" w:eastAsia="仿宋" w:cs="仿宋"/>
                <w:szCs w:val="21"/>
              </w:rPr>
            </w:pPr>
          </w:p>
        </w:tc>
        <w:tc>
          <w:tcPr>
            <w:tcW w:w="742"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34" w:type="dxa"/>
            <w:vAlign w:val="center"/>
          </w:tcPr>
          <w:p>
            <w:pPr>
              <w:jc w:val="center"/>
              <w:rPr>
                <w:rFonts w:ascii="宋体" w:hAnsi="宋体" w:cs="宋体"/>
                <w:sz w:val="18"/>
                <w:szCs w:val="18"/>
              </w:rPr>
            </w:pPr>
            <w:r>
              <w:rPr>
                <w:rFonts w:hint="eastAsia"/>
                <w:sz w:val="18"/>
                <w:szCs w:val="18"/>
              </w:rPr>
              <w:t>6</w:t>
            </w:r>
          </w:p>
        </w:tc>
        <w:tc>
          <w:tcPr>
            <w:tcW w:w="1417" w:type="dxa"/>
            <w:vAlign w:val="center"/>
          </w:tcPr>
          <w:p>
            <w:pPr>
              <w:rPr>
                <w:rFonts w:ascii="宋体" w:hAnsi="宋体" w:cs="宋体"/>
                <w:sz w:val="16"/>
                <w:szCs w:val="16"/>
              </w:rPr>
            </w:pPr>
            <w:r>
              <w:rPr>
                <w:rFonts w:hint="eastAsia"/>
                <w:sz w:val="16"/>
                <w:szCs w:val="16"/>
              </w:rPr>
              <w:t>截止阀</w:t>
            </w:r>
          </w:p>
        </w:tc>
        <w:tc>
          <w:tcPr>
            <w:tcW w:w="1451" w:type="dxa"/>
            <w:vAlign w:val="center"/>
          </w:tcPr>
          <w:p>
            <w:pPr>
              <w:rPr>
                <w:rFonts w:ascii="宋体" w:hAnsi="宋体" w:cs="宋体"/>
                <w:sz w:val="16"/>
                <w:szCs w:val="16"/>
              </w:rPr>
            </w:pPr>
            <w:r>
              <w:rPr>
                <w:rFonts w:hint="eastAsia"/>
                <w:sz w:val="16"/>
                <w:szCs w:val="16"/>
              </w:rPr>
              <w:t>介质乙醇</w:t>
            </w:r>
          </w:p>
        </w:tc>
        <w:tc>
          <w:tcPr>
            <w:tcW w:w="2552" w:type="dxa"/>
            <w:vAlign w:val="center"/>
          </w:tcPr>
          <w:p>
            <w:pPr>
              <w:rPr>
                <w:rFonts w:ascii="宋体" w:hAnsi="宋体" w:cs="宋体"/>
                <w:sz w:val="16"/>
                <w:szCs w:val="16"/>
              </w:rPr>
            </w:pPr>
            <w:r>
              <w:rPr>
                <w:rFonts w:hint="eastAsia"/>
                <w:sz w:val="16"/>
                <w:szCs w:val="16"/>
              </w:rPr>
              <w:t>DN150 PN16 碳钢</w:t>
            </w:r>
          </w:p>
        </w:tc>
        <w:tc>
          <w:tcPr>
            <w:tcW w:w="567" w:type="dxa"/>
            <w:vAlign w:val="center"/>
          </w:tcPr>
          <w:p>
            <w:pPr>
              <w:jc w:val="center"/>
              <w:rPr>
                <w:rFonts w:ascii="宋体" w:hAnsi="宋体" w:cs="宋体"/>
                <w:sz w:val="16"/>
                <w:szCs w:val="16"/>
              </w:rPr>
            </w:pPr>
            <w:r>
              <w:rPr>
                <w:rFonts w:hint="eastAsia"/>
                <w:sz w:val="16"/>
                <w:szCs w:val="16"/>
              </w:rPr>
              <w:t>只</w:t>
            </w:r>
          </w:p>
        </w:tc>
        <w:tc>
          <w:tcPr>
            <w:tcW w:w="567" w:type="dxa"/>
            <w:vAlign w:val="center"/>
          </w:tcPr>
          <w:p>
            <w:pPr>
              <w:jc w:val="center"/>
              <w:rPr>
                <w:rFonts w:ascii="宋体" w:hAnsi="宋体" w:cs="宋体"/>
                <w:color w:val="auto"/>
                <w:sz w:val="18"/>
                <w:szCs w:val="18"/>
              </w:rPr>
            </w:pPr>
            <w:r>
              <w:rPr>
                <w:rFonts w:hint="eastAsia"/>
                <w:color w:val="auto"/>
                <w:sz w:val="18"/>
                <w:szCs w:val="18"/>
              </w:rPr>
              <w:t>2</w:t>
            </w:r>
          </w:p>
        </w:tc>
        <w:tc>
          <w:tcPr>
            <w:tcW w:w="992" w:type="dxa"/>
            <w:vAlign w:val="center"/>
          </w:tcPr>
          <w:p>
            <w:pPr>
              <w:widowControl/>
              <w:spacing w:line="0" w:lineRule="atLeast"/>
              <w:jc w:val="center"/>
              <w:rPr>
                <w:rFonts w:ascii="仿宋" w:hAnsi="仿宋" w:eastAsia="仿宋" w:cs="仿宋"/>
                <w:szCs w:val="21"/>
              </w:rPr>
            </w:pPr>
          </w:p>
        </w:tc>
        <w:tc>
          <w:tcPr>
            <w:tcW w:w="992" w:type="dxa"/>
            <w:vAlign w:val="center"/>
          </w:tcPr>
          <w:p>
            <w:pPr>
              <w:widowControl/>
              <w:spacing w:line="0" w:lineRule="atLeast"/>
              <w:jc w:val="center"/>
              <w:rPr>
                <w:rFonts w:ascii="仿宋" w:hAnsi="仿宋" w:eastAsia="仿宋" w:cs="仿宋"/>
                <w:szCs w:val="21"/>
              </w:rPr>
            </w:pPr>
          </w:p>
        </w:tc>
        <w:tc>
          <w:tcPr>
            <w:tcW w:w="742"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34" w:type="dxa"/>
            <w:vAlign w:val="center"/>
          </w:tcPr>
          <w:p>
            <w:pPr>
              <w:jc w:val="center"/>
              <w:rPr>
                <w:rFonts w:ascii="宋体" w:hAnsi="宋体" w:cs="宋体"/>
                <w:sz w:val="18"/>
                <w:szCs w:val="18"/>
              </w:rPr>
            </w:pPr>
            <w:r>
              <w:rPr>
                <w:rFonts w:hint="eastAsia"/>
                <w:sz w:val="18"/>
                <w:szCs w:val="18"/>
              </w:rPr>
              <w:t>7</w:t>
            </w:r>
          </w:p>
        </w:tc>
        <w:tc>
          <w:tcPr>
            <w:tcW w:w="1417" w:type="dxa"/>
            <w:vAlign w:val="center"/>
          </w:tcPr>
          <w:p>
            <w:pPr>
              <w:rPr>
                <w:rFonts w:ascii="宋体" w:hAnsi="宋体" w:cs="宋体"/>
                <w:sz w:val="16"/>
                <w:szCs w:val="16"/>
              </w:rPr>
            </w:pPr>
            <w:r>
              <w:rPr>
                <w:rFonts w:hint="eastAsia"/>
                <w:sz w:val="16"/>
                <w:szCs w:val="16"/>
              </w:rPr>
              <w:t>截止阀</w:t>
            </w:r>
          </w:p>
        </w:tc>
        <w:tc>
          <w:tcPr>
            <w:tcW w:w="1451" w:type="dxa"/>
            <w:vAlign w:val="center"/>
          </w:tcPr>
          <w:p>
            <w:pPr>
              <w:rPr>
                <w:rFonts w:ascii="宋体" w:hAnsi="宋体" w:cs="宋体"/>
                <w:sz w:val="16"/>
                <w:szCs w:val="16"/>
              </w:rPr>
            </w:pPr>
            <w:r>
              <w:rPr>
                <w:rFonts w:hint="eastAsia"/>
                <w:sz w:val="16"/>
                <w:szCs w:val="16"/>
              </w:rPr>
              <w:t>介质甲醇</w:t>
            </w:r>
          </w:p>
        </w:tc>
        <w:tc>
          <w:tcPr>
            <w:tcW w:w="2552" w:type="dxa"/>
            <w:vAlign w:val="center"/>
          </w:tcPr>
          <w:p>
            <w:pPr>
              <w:rPr>
                <w:rFonts w:ascii="宋体" w:hAnsi="宋体" w:cs="宋体"/>
                <w:sz w:val="16"/>
                <w:szCs w:val="16"/>
              </w:rPr>
            </w:pPr>
            <w:r>
              <w:rPr>
                <w:rFonts w:hint="eastAsia"/>
                <w:sz w:val="16"/>
                <w:szCs w:val="16"/>
              </w:rPr>
              <w:t>DN200 PN20 碳钢</w:t>
            </w:r>
          </w:p>
        </w:tc>
        <w:tc>
          <w:tcPr>
            <w:tcW w:w="567" w:type="dxa"/>
            <w:vAlign w:val="center"/>
          </w:tcPr>
          <w:p>
            <w:pPr>
              <w:jc w:val="center"/>
              <w:rPr>
                <w:rFonts w:ascii="宋体" w:hAnsi="宋体" w:cs="宋体"/>
                <w:sz w:val="16"/>
                <w:szCs w:val="16"/>
              </w:rPr>
            </w:pPr>
            <w:r>
              <w:rPr>
                <w:rFonts w:hint="eastAsia"/>
                <w:sz w:val="16"/>
                <w:szCs w:val="16"/>
              </w:rPr>
              <w:t>只</w:t>
            </w:r>
          </w:p>
        </w:tc>
        <w:tc>
          <w:tcPr>
            <w:tcW w:w="567" w:type="dxa"/>
            <w:vAlign w:val="center"/>
          </w:tcPr>
          <w:p>
            <w:pPr>
              <w:jc w:val="center"/>
              <w:rPr>
                <w:rFonts w:ascii="宋体" w:hAnsi="宋体" w:cs="宋体"/>
                <w:color w:val="auto"/>
                <w:sz w:val="18"/>
                <w:szCs w:val="18"/>
              </w:rPr>
            </w:pPr>
            <w:r>
              <w:rPr>
                <w:rFonts w:hint="eastAsia"/>
                <w:color w:val="auto"/>
                <w:sz w:val="18"/>
                <w:szCs w:val="18"/>
              </w:rPr>
              <w:t>1</w:t>
            </w:r>
          </w:p>
        </w:tc>
        <w:tc>
          <w:tcPr>
            <w:tcW w:w="992" w:type="dxa"/>
            <w:vAlign w:val="center"/>
          </w:tcPr>
          <w:p>
            <w:pPr>
              <w:widowControl/>
              <w:spacing w:line="0" w:lineRule="atLeast"/>
              <w:jc w:val="center"/>
              <w:rPr>
                <w:rFonts w:ascii="仿宋" w:hAnsi="仿宋" w:eastAsia="仿宋" w:cs="仿宋"/>
                <w:szCs w:val="21"/>
              </w:rPr>
            </w:pPr>
          </w:p>
        </w:tc>
        <w:tc>
          <w:tcPr>
            <w:tcW w:w="992" w:type="dxa"/>
            <w:vAlign w:val="center"/>
          </w:tcPr>
          <w:p>
            <w:pPr>
              <w:widowControl/>
              <w:spacing w:line="0" w:lineRule="atLeast"/>
              <w:jc w:val="center"/>
              <w:rPr>
                <w:rFonts w:ascii="仿宋" w:hAnsi="仿宋" w:eastAsia="仿宋" w:cs="仿宋"/>
                <w:szCs w:val="21"/>
              </w:rPr>
            </w:pPr>
          </w:p>
        </w:tc>
        <w:tc>
          <w:tcPr>
            <w:tcW w:w="742"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34" w:type="dxa"/>
            <w:vAlign w:val="center"/>
          </w:tcPr>
          <w:p>
            <w:pPr>
              <w:jc w:val="center"/>
              <w:rPr>
                <w:rFonts w:ascii="宋体" w:hAnsi="宋体" w:cs="宋体"/>
                <w:sz w:val="18"/>
                <w:szCs w:val="18"/>
              </w:rPr>
            </w:pPr>
            <w:r>
              <w:rPr>
                <w:rFonts w:hint="eastAsia"/>
                <w:sz w:val="18"/>
                <w:szCs w:val="18"/>
              </w:rPr>
              <w:t>8</w:t>
            </w:r>
          </w:p>
        </w:tc>
        <w:tc>
          <w:tcPr>
            <w:tcW w:w="1417" w:type="dxa"/>
            <w:vAlign w:val="center"/>
          </w:tcPr>
          <w:p>
            <w:pPr>
              <w:rPr>
                <w:rFonts w:ascii="宋体" w:hAnsi="宋体" w:cs="宋体"/>
                <w:sz w:val="16"/>
                <w:szCs w:val="16"/>
              </w:rPr>
            </w:pPr>
            <w:r>
              <w:rPr>
                <w:rFonts w:hint="eastAsia"/>
                <w:sz w:val="16"/>
                <w:szCs w:val="16"/>
              </w:rPr>
              <w:t>活塞带表式蒸汽减压阀</w:t>
            </w:r>
          </w:p>
        </w:tc>
        <w:tc>
          <w:tcPr>
            <w:tcW w:w="1451" w:type="dxa"/>
            <w:vAlign w:val="center"/>
          </w:tcPr>
          <w:p>
            <w:pPr>
              <w:rPr>
                <w:rFonts w:ascii="宋体" w:hAnsi="宋体" w:cs="宋体"/>
                <w:sz w:val="16"/>
                <w:szCs w:val="16"/>
              </w:rPr>
            </w:pPr>
            <w:r>
              <w:rPr>
                <w:rFonts w:hint="eastAsia"/>
                <w:sz w:val="16"/>
                <w:szCs w:val="16"/>
              </w:rPr>
              <w:t>碳钢</w:t>
            </w:r>
          </w:p>
        </w:tc>
        <w:tc>
          <w:tcPr>
            <w:tcW w:w="2552" w:type="dxa"/>
            <w:vAlign w:val="center"/>
          </w:tcPr>
          <w:p>
            <w:pPr>
              <w:rPr>
                <w:rFonts w:ascii="宋体" w:hAnsi="宋体" w:cs="宋体"/>
                <w:sz w:val="16"/>
                <w:szCs w:val="16"/>
              </w:rPr>
            </w:pPr>
            <w:r>
              <w:rPr>
                <w:rFonts w:hint="eastAsia"/>
                <w:sz w:val="16"/>
                <w:szCs w:val="16"/>
              </w:rPr>
              <w:t>Y43H-16P DN80 PN16</w:t>
            </w:r>
          </w:p>
        </w:tc>
        <w:tc>
          <w:tcPr>
            <w:tcW w:w="567" w:type="dxa"/>
            <w:vAlign w:val="center"/>
          </w:tcPr>
          <w:p>
            <w:pPr>
              <w:jc w:val="center"/>
              <w:rPr>
                <w:rFonts w:ascii="宋体" w:hAnsi="宋体" w:cs="宋体"/>
                <w:sz w:val="16"/>
                <w:szCs w:val="16"/>
              </w:rPr>
            </w:pPr>
            <w:r>
              <w:rPr>
                <w:rFonts w:hint="eastAsia"/>
                <w:sz w:val="16"/>
                <w:szCs w:val="16"/>
              </w:rPr>
              <w:t>只</w:t>
            </w:r>
          </w:p>
        </w:tc>
        <w:tc>
          <w:tcPr>
            <w:tcW w:w="567" w:type="dxa"/>
            <w:vAlign w:val="center"/>
          </w:tcPr>
          <w:p>
            <w:pPr>
              <w:jc w:val="center"/>
              <w:rPr>
                <w:rFonts w:ascii="宋体" w:hAnsi="宋体" w:cs="宋体"/>
                <w:sz w:val="16"/>
                <w:szCs w:val="16"/>
              </w:rPr>
            </w:pPr>
            <w:r>
              <w:rPr>
                <w:rFonts w:hint="eastAsia"/>
                <w:sz w:val="16"/>
                <w:szCs w:val="16"/>
              </w:rPr>
              <w:t>1</w:t>
            </w:r>
          </w:p>
        </w:tc>
        <w:tc>
          <w:tcPr>
            <w:tcW w:w="992" w:type="dxa"/>
            <w:vAlign w:val="center"/>
          </w:tcPr>
          <w:p>
            <w:pPr>
              <w:widowControl/>
              <w:spacing w:line="0" w:lineRule="atLeast"/>
              <w:jc w:val="center"/>
              <w:rPr>
                <w:rFonts w:ascii="仿宋" w:hAnsi="仿宋" w:eastAsia="仿宋" w:cs="仿宋"/>
                <w:szCs w:val="21"/>
              </w:rPr>
            </w:pPr>
          </w:p>
        </w:tc>
        <w:tc>
          <w:tcPr>
            <w:tcW w:w="992" w:type="dxa"/>
            <w:vAlign w:val="center"/>
          </w:tcPr>
          <w:p>
            <w:pPr>
              <w:widowControl/>
              <w:spacing w:line="0" w:lineRule="atLeast"/>
              <w:jc w:val="center"/>
              <w:rPr>
                <w:rFonts w:ascii="仿宋" w:hAnsi="仿宋" w:eastAsia="仿宋" w:cs="仿宋"/>
                <w:szCs w:val="21"/>
              </w:rPr>
            </w:pPr>
          </w:p>
        </w:tc>
        <w:tc>
          <w:tcPr>
            <w:tcW w:w="742" w:type="dxa"/>
            <w:vAlign w:val="center"/>
          </w:tcPr>
          <w:p>
            <w:pPr>
              <w:widowControl/>
              <w:spacing w:line="0" w:lineRule="atLeast"/>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54" w:type="dxa"/>
            <w:gridSpan w:val="4"/>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 xml:space="preserve">以上合计总价（大写）： </w:t>
            </w:r>
          </w:p>
        </w:tc>
        <w:tc>
          <w:tcPr>
            <w:tcW w:w="3860" w:type="dxa"/>
            <w:gridSpan w:val="5"/>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954" w:type="dxa"/>
            <w:gridSpan w:val="4"/>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 xml:space="preserve">报价有效期： </w:t>
            </w:r>
          </w:p>
        </w:tc>
        <w:tc>
          <w:tcPr>
            <w:tcW w:w="3860" w:type="dxa"/>
            <w:gridSpan w:val="5"/>
            <w:vAlign w:val="center"/>
          </w:tcPr>
          <w:p>
            <w:pPr>
              <w:widowControl/>
              <w:spacing w:line="0" w:lineRule="atLeast"/>
              <w:jc w:val="left"/>
              <w:rPr>
                <w:rFonts w:ascii="仿宋" w:hAnsi="仿宋" w:eastAsia="仿宋" w:cs="仿宋"/>
                <w:color w:val="auto"/>
                <w:szCs w:val="21"/>
              </w:rPr>
            </w:pPr>
            <w:r>
              <w:rPr>
                <w:rFonts w:hint="eastAsia" w:ascii="仿宋" w:hAnsi="仿宋" w:eastAsia="仿宋" w:cs="仿宋"/>
                <w:color w:val="auto"/>
                <w:szCs w:val="21"/>
              </w:rPr>
              <w:t>税率：</w:t>
            </w:r>
          </w:p>
        </w:tc>
      </w:tr>
    </w:tbl>
    <w:p>
      <w:pPr>
        <w:wordWrap w:val="0"/>
        <w:spacing w:beforeLines="50" w:line="360" w:lineRule="auto"/>
        <w:jc w:val="left"/>
        <w:rPr>
          <w:rFonts w:ascii="仿宋" w:hAnsi="仿宋" w:eastAsia="仿宋" w:cs="仿宋"/>
          <w:kern w:val="1"/>
          <w:sz w:val="24"/>
        </w:rPr>
      </w:pPr>
      <w:r>
        <w:rPr>
          <w:rFonts w:hint="eastAsia" w:ascii="仿宋" w:hAnsi="仿宋" w:eastAsia="仿宋" w:cs="仿宋"/>
          <w:kern w:val="1"/>
          <w:sz w:val="24"/>
        </w:rPr>
        <w:t xml:space="preserve">全权代表（签字）：                       投标单位（盖章）：         </w:t>
      </w:r>
    </w:p>
    <w:p>
      <w:pPr>
        <w:wordWrap w:val="0"/>
        <w:spacing w:beforeLines="50" w:line="360" w:lineRule="auto"/>
        <w:jc w:val="left"/>
        <w:rPr>
          <w:rFonts w:ascii="仿宋" w:hAnsi="仿宋" w:eastAsia="仿宋" w:cs="仿宋"/>
          <w:kern w:val="1"/>
          <w:sz w:val="24"/>
        </w:rPr>
      </w:pPr>
      <w:r>
        <w:rPr>
          <w:rFonts w:hint="eastAsia" w:ascii="仿宋" w:hAnsi="仿宋" w:eastAsia="仿宋" w:cs="仿宋"/>
          <w:kern w:val="1"/>
          <w:sz w:val="24"/>
        </w:rPr>
        <w:t>日  期：</w:t>
      </w:r>
    </w:p>
    <w:p>
      <w:pPr>
        <w:wordWrap w:val="0"/>
        <w:spacing w:beforeLines="50" w:line="360" w:lineRule="auto"/>
        <w:jc w:val="left"/>
        <w:rPr>
          <w:rFonts w:ascii="仿宋" w:hAnsi="仿宋" w:eastAsia="仿宋" w:cs="仿宋"/>
          <w:kern w:val="1"/>
          <w:sz w:val="24"/>
        </w:rPr>
      </w:pPr>
      <w:r>
        <w:rPr>
          <w:rFonts w:hint="eastAsia" w:ascii="仿宋" w:hAnsi="仿宋" w:eastAsia="仿宋" w:cs="仿宋"/>
          <w:kern w:val="1"/>
          <w:sz w:val="24"/>
        </w:rPr>
        <w:t>注：1、未注明税率的视为无效价格。</w:t>
      </w:r>
    </w:p>
    <w:p>
      <w:pPr>
        <w:tabs>
          <w:tab w:val="left" w:pos="360"/>
        </w:tabs>
        <w:spacing w:line="360" w:lineRule="auto"/>
        <w:jc w:val="left"/>
        <w:rPr>
          <w:rFonts w:ascii="仿宋" w:hAnsi="仿宋" w:eastAsia="仿宋" w:cs="仿宋"/>
          <w:kern w:val="1"/>
          <w:sz w:val="24"/>
        </w:rPr>
      </w:pPr>
      <w:r>
        <w:rPr>
          <w:rFonts w:hint="eastAsia" w:ascii="仿宋" w:hAnsi="仿宋" w:eastAsia="仿宋" w:cs="仿宋"/>
          <w:kern w:val="1"/>
          <w:sz w:val="24"/>
        </w:rPr>
        <w:t>2、</w:t>
      </w:r>
      <w:r>
        <w:rPr>
          <w:rFonts w:hint="eastAsia" w:ascii="仿宋" w:hAnsi="仿宋" w:eastAsia="仿宋" w:cs="仿宋"/>
          <w:color w:val="FF0000"/>
          <w:kern w:val="1"/>
          <w:sz w:val="24"/>
        </w:rPr>
        <w:t>报价有效期少于投标有效期的作废标处理</w:t>
      </w:r>
      <w:r>
        <w:rPr>
          <w:rFonts w:hint="eastAsia" w:ascii="仿宋" w:hAnsi="仿宋" w:eastAsia="仿宋" w:cs="仿宋"/>
          <w:kern w:val="1"/>
          <w:sz w:val="24"/>
        </w:rPr>
        <w:t>，未标注的以投标有效期为准。</w:t>
      </w:r>
    </w:p>
    <w:p>
      <w:pPr>
        <w:tabs>
          <w:tab w:val="left" w:pos="360"/>
        </w:tabs>
        <w:spacing w:line="360" w:lineRule="auto"/>
        <w:jc w:val="left"/>
        <w:rPr>
          <w:rFonts w:ascii="仿宋" w:hAnsi="仿宋" w:eastAsia="仿宋" w:cs="仿宋"/>
          <w:kern w:val="1"/>
          <w:sz w:val="24"/>
        </w:rPr>
      </w:pPr>
      <w:r>
        <w:rPr>
          <w:rFonts w:hint="eastAsia" w:ascii="仿宋" w:hAnsi="仿宋" w:eastAsia="仿宋" w:cs="仿宋"/>
          <w:kern w:val="1"/>
          <w:sz w:val="24"/>
        </w:rPr>
        <w:t>3、交货期：投标方给出有利于招标方或竞标的最短交货期，</w:t>
      </w:r>
      <w:r>
        <w:rPr>
          <w:rFonts w:hint="eastAsia" w:ascii="仿宋" w:hAnsi="仿宋" w:eastAsia="仿宋" w:cs="仿宋"/>
          <w:color w:val="auto"/>
          <w:kern w:val="2"/>
          <w:sz w:val="24"/>
        </w:rPr>
        <w:t>评标时作为重要参考依据</w:t>
      </w:r>
      <w:r>
        <w:rPr>
          <w:rFonts w:hint="eastAsia" w:ascii="仿宋" w:hAnsi="仿宋" w:eastAsia="仿宋" w:cs="仿宋"/>
          <w:kern w:val="1"/>
          <w:sz w:val="24"/>
        </w:rPr>
        <w:t>，未注明的以招标文件为准但可能会成为不中标的因素。</w:t>
      </w:r>
    </w:p>
    <w:p>
      <w:pPr>
        <w:tabs>
          <w:tab w:val="left" w:pos="360"/>
        </w:tabs>
        <w:spacing w:line="360" w:lineRule="auto"/>
        <w:jc w:val="left"/>
        <w:rPr>
          <w:rFonts w:ascii="仿宋" w:hAnsi="仿宋" w:eastAsia="仿宋" w:cs="仿宋"/>
          <w:kern w:val="1"/>
          <w:sz w:val="24"/>
        </w:rPr>
      </w:pPr>
      <w:r>
        <w:rPr>
          <w:rFonts w:hint="eastAsia" w:ascii="仿宋" w:hAnsi="仿宋" w:eastAsia="仿宋" w:cs="仿宋"/>
          <w:kern w:val="1"/>
          <w:sz w:val="24"/>
        </w:rPr>
        <w:t>4、特别说明：投标方应认真核算货物的单价，招标方有权根据单价来选择采购。</w:t>
      </w:r>
    </w:p>
    <w:p>
      <w:pPr>
        <w:tabs>
          <w:tab w:val="left" w:pos="360"/>
        </w:tabs>
        <w:spacing w:line="360" w:lineRule="auto"/>
        <w:jc w:val="left"/>
        <w:rPr>
          <w:rFonts w:ascii="仿宋" w:hAnsi="仿宋" w:eastAsia="仿宋" w:cs="仿宋"/>
          <w:b/>
          <w:color w:val="auto"/>
          <w:kern w:val="1"/>
          <w:sz w:val="24"/>
        </w:rPr>
      </w:pPr>
      <w:r>
        <w:rPr>
          <w:rFonts w:hint="eastAsia" w:ascii="仿宋" w:hAnsi="仿宋" w:eastAsia="仿宋" w:cs="仿宋"/>
          <w:kern w:val="1"/>
          <w:sz w:val="24"/>
        </w:rPr>
        <w:t>5、招标控制价为:</w:t>
      </w:r>
      <w:r>
        <w:rPr>
          <w:rFonts w:hint="eastAsia" w:ascii="仿宋" w:hAnsi="仿宋" w:eastAsia="仿宋" w:cs="仿宋"/>
          <w:color w:val="FF0000"/>
          <w:kern w:val="1"/>
          <w:sz w:val="24"/>
        </w:rPr>
        <w:t>30万元（含税）(高于招标控制价作废标处理）</w:t>
      </w:r>
    </w:p>
    <w:sectPr>
      <w:footerReference r:id="rId5" w:type="default"/>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ÑÚSå">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Quad Arrow 3" o:spid="_x0000_s2049"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6"/>
                  <w:jc w:val="center"/>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9FFCB"/>
    <w:multiLevelType w:val="singleLevel"/>
    <w:tmpl w:val="1879FFCB"/>
    <w:lvl w:ilvl="0" w:tentative="0">
      <w:start w:val="2"/>
      <w:numFmt w:val="decimal"/>
      <w:suff w:val="nothing"/>
      <w:lvlText w:val="%1、"/>
      <w:lvlJc w:val="left"/>
      <w:rPr>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EwNDY2YTI5NjhmZmZjMjIxYzU0Y2ZmMTU3ZjJkNmIifQ=="/>
  </w:docVars>
  <w:rsids>
    <w:rsidRoot w:val="00222C1C"/>
    <w:rsid w:val="000004AE"/>
    <w:rsid w:val="0000283A"/>
    <w:rsid w:val="00004EAD"/>
    <w:rsid w:val="00007260"/>
    <w:rsid w:val="00012886"/>
    <w:rsid w:val="00020E25"/>
    <w:rsid w:val="000314CB"/>
    <w:rsid w:val="00032AF8"/>
    <w:rsid w:val="00065795"/>
    <w:rsid w:val="00074A0E"/>
    <w:rsid w:val="000944A2"/>
    <w:rsid w:val="000962D0"/>
    <w:rsid w:val="00096997"/>
    <w:rsid w:val="000A3597"/>
    <w:rsid w:val="000B08EC"/>
    <w:rsid w:val="000B3DC0"/>
    <w:rsid w:val="000B564B"/>
    <w:rsid w:val="000B7C10"/>
    <w:rsid w:val="000C0633"/>
    <w:rsid w:val="000D124F"/>
    <w:rsid w:val="000D4CF9"/>
    <w:rsid w:val="000D6084"/>
    <w:rsid w:val="000D79CB"/>
    <w:rsid w:val="000E0423"/>
    <w:rsid w:val="000E287A"/>
    <w:rsid w:val="000E3990"/>
    <w:rsid w:val="000E6B33"/>
    <w:rsid w:val="000F0B82"/>
    <w:rsid w:val="000F1B85"/>
    <w:rsid w:val="000F3667"/>
    <w:rsid w:val="000F3A24"/>
    <w:rsid w:val="000F4E49"/>
    <w:rsid w:val="000F6C95"/>
    <w:rsid w:val="00113842"/>
    <w:rsid w:val="001227AD"/>
    <w:rsid w:val="00123A4D"/>
    <w:rsid w:val="00124E92"/>
    <w:rsid w:val="00130C69"/>
    <w:rsid w:val="00135DF9"/>
    <w:rsid w:val="00144E77"/>
    <w:rsid w:val="00145F5B"/>
    <w:rsid w:val="0014724A"/>
    <w:rsid w:val="00147D15"/>
    <w:rsid w:val="00150362"/>
    <w:rsid w:val="001517BE"/>
    <w:rsid w:val="0016055C"/>
    <w:rsid w:val="00165915"/>
    <w:rsid w:val="0017014E"/>
    <w:rsid w:val="00181585"/>
    <w:rsid w:val="00181B28"/>
    <w:rsid w:val="00181BC9"/>
    <w:rsid w:val="00186584"/>
    <w:rsid w:val="00191B58"/>
    <w:rsid w:val="001A51A5"/>
    <w:rsid w:val="001B12C9"/>
    <w:rsid w:val="001B7689"/>
    <w:rsid w:val="001B7C15"/>
    <w:rsid w:val="001C7DC4"/>
    <w:rsid w:val="001D4C15"/>
    <w:rsid w:val="001E0F35"/>
    <w:rsid w:val="001F183C"/>
    <w:rsid w:val="001F45BB"/>
    <w:rsid w:val="002009D5"/>
    <w:rsid w:val="0021653A"/>
    <w:rsid w:val="0021776D"/>
    <w:rsid w:val="00221CCB"/>
    <w:rsid w:val="00222C1C"/>
    <w:rsid w:val="00224BD2"/>
    <w:rsid w:val="002371F8"/>
    <w:rsid w:val="0024065F"/>
    <w:rsid w:val="0024458C"/>
    <w:rsid w:val="0024615F"/>
    <w:rsid w:val="00246C03"/>
    <w:rsid w:val="00247131"/>
    <w:rsid w:val="00253E68"/>
    <w:rsid w:val="00261BB6"/>
    <w:rsid w:val="0027117B"/>
    <w:rsid w:val="002714CE"/>
    <w:rsid w:val="00274EEB"/>
    <w:rsid w:val="00276960"/>
    <w:rsid w:val="00281042"/>
    <w:rsid w:val="002827D1"/>
    <w:rsid w:val="0028333E"/>
    <w:rsid w:val="0028686A"/>
    <w:rsid w:val="00286F9F"/>
    <w:rsid w:val="002876D4"/>
    <w:rsid w:val="00287EAF"/>
    <w:rsid w:val="00293E90"/>
    <w:rsid w:val="002948A2"/>
    <w:rsid w:val="002A4AFC"/>
    <w:rsid w:val="002B3256"/>
    <w:rsid w:val="002C7128"/>
    <w:rsid w:val="002D269C"/>
    <w:rsid w:val="002E0F65"/>
    <w:rsid w:val="002E2CA8"/>
    <w:rsid w:val="002E6FBC"/>
    <w:rsid w:val="002F2DCF"/>
    <w:rsid w:val="002F4144"/>
    <w:rsid w:val="002F4EA3"/>
    <w:rsid w:val="00302099"/>
    <w:rsid w:val="00305AB3"/>
    <w:rsid w:val="00306606"/>
    <w:rsid w:val="00317AED"/>
    <w:rsid w:val="003253DA"/>
    <w:rsid w:val="003425F8"/>
    <w:rsid w:val="00342F40"/>
    <w:rsid w:val="00343812"/>
    <w:rsid w:val="00355EB3"/>
    <w:rsid w:val="00356203"/>
    <w:rsid w:val="003605E5"/>
    <w:rsid w:val="00362443"/>
    <w:rsid w:val="00362C89"/>
    <w:rsid w:val="00374E22"/>
    <w:rsid w:val="003826BC"/>
    <w:rsid w:val="003867BB"/>
    <w:rsid w:val="00387B35"/>
    <w:rsid w:val="00391FFD"/>
    <w:rsid w:val="00397CBC"/>
    <w:rsid w:val="003A1017"/>
    <w:rsid w:val="003A2334"/>
    <w:rsid w:val="003A4ED8"/>
    <w:rsid w:val="003A5ADD"/>
    <w:rsid w:val="003B0277"/>
    <w:rsid w:val="003B41B9"/>
    <w:rsid w:val="003C70E4"/>
    <w:rsid w:val="003D442D"/>
    <w:rsid w:val="003D728B"/>
    <w:rsid w:val="003E0C50"/>
    <w:rsid w:val="003E7EA3"/>
    <w:rsid w:val="00404DB9"/>
    <w:rsid w:val="004130A0"/>
    <w:rsid w:val="00416D02"/>
    <w:rsid w:val="00427423"/>
    <w:rsid w:val="004305FE"/>
    <w:rsid w:val="00440033"/>
    <w:rsid w:val="0044030C"/>
    <w:rsid w:val="004515AC"/>
    <w:rsid w:val="0045334E"/>
    <w:rsid w:val="00455C1D"/>
    <w:rsid w:val="00463304"/>
    <w:rsid w:val="004641B3"/>
    <w:rsid w:val="00464B96"/>
    <w:rsid w:val="00472004"/>
    <w:rsid w:val="00477348"/>
    <w:rsid w:val="00486E18"/>
    <w:rsid w:val="00493A67"/>
    <w:rsid w:val="00495A7D"/>
    <w:rsid w:val="00497233"/>
    <w:rsid w:val="004A12DD"/>
    <w:rsid w:val="004A2AC0"/>
    <w:rsid w:val="004A3283"/>
    <w:rsid w:val="004A51B4"/>
    <w:rsid w:val="004B046D"/>
    <w:rsid w:val="004B1318"/>
    <w:rsid w:val="004B52A4"/>
    <w:rsid w:val="004C7977"/>
    <w:rsid w:val="004D1D8E"/>
    <w:rsid w:val="004E0C1C"/>
    <w:rsid w:val="004E7FFE"/>
    <w:rsid w:val="004F2B08"/>
    <w:rsid w:val="004F4CB6"/>
    <w:rsid w:val="004F786B"/>
    <w:rsid w:val="005110A3"/>
    <w:rsid w:val="00511A75"/>
    <w:rsid w:val="00515751"/>
    <w:rsid w:val="00522CFD"/>
    <w:rsid w:val="005240E0"/>
    <w:rsid w:val="00537C5E"/>
    <w:rsid w:val="005456AF"/>
    <w:rsid w:val="00546820"/>
    <w:rsid w:val="005547B2"/>
    <w:rsid w:val="005632C2"/>
    <w:rsid w:val="005642F2"/>
    <w:rsid w:val="00565804"/>
    <w:rsid w:val="005669A1"/>
    <w:rsid w:val="0057269C"/>
    <w:rsid w:val="0057384A"/>
    <w:rsid w:val="005774DF"/>
    <w:rsid w:val="00580F93"/>
    <w:rsid w:val="00585682"/>
    <w:rsid w:val="005A5758"/>
    <w:rsid w:val="005D063E"/>
    <w:rsid w:val="005D6406"/>
    <w:rsid w:val="005F139C"/>
    <w:rsid w:val="005F1E26"/>
    <w:rsid w:val="005F5CF6"/>
    <w:rsid w:val="005F7674"/>
    <w:rsid w:val="006008C9"/>
    <w:rsid w:val="00603599"/>
    <w:rsid w:val="006039EA"/>
    <w:rsid w:val="00604D02"/>
    <w:rsid w:val="006068EF"/>
    <w:rsid w:val="00613BC7"/>
    <w:rsid w:val="00616009"/>
    <w:rsid w:val="00620CD1"/>
    <w:rsid w:val="00620E2A"/>
    <w:rsid w:val="00630C02"/>
    <w:rsid w:val="006310A8"/>
    <w:rsid w:val="00633BF8"/>
    <w:rsid w:val="00636826"/>
    <w:rsid w:val="006653EE"/>
    <w:rsid w:val="00673ED0"/>
    <w:rsid w:val="0067577E"/>
    <w:rsid w:val="006812D5"/>
    <w:rsid w:val="00681DE0"/>
    <w:rsid w:val="006838F9"/>
    <w:rsid w:val="006861CF"/>
    <w:rsid w:val="006906A6"/>
    <w:rsid w:val="00691271"/>
    <w:rsid w:val="0069325D"/>
    <w:rsid w:val="00694A93"/>
    <w:rsid w:val="006966FC"/>
    <w:rsid w:val="006A1534"/>
    <w:rsid w:val="006A312D"/>
    <w:rsid w:val="006A5A65"/>
    <w:rsid w:val="006A69EA"/>
    <w:rsid w:val="006A6D8A"/>
    <w:rsid w:val="006B332A"/>
    <w:rsid w:val="006B3659"/>
    <w:rsid w:val="006C2A2A"/>
    <w:rsid w:val="006C79E6"/>
    <w:rsid w:val="006D2173"/>
    <w:rsid w:val="006D6606"/>
    <w:rsid w:val="006E367A"/>
    <w:rsid w:val="006F2B21"/>
    <w:rsid w:val="007164F2"/>
    <w:rsid w:val="007204F4"/>
    <w:rsid w:val="00727E14"/>
    <w:rsid w:val="00746FA2"/>
    <w:rsid w:val="007649AD"/>
    <w:rsid w:val="0078424F"/>
    <w:rsid w:val="00790BF0"/>
    <w:rsid w:val="0079595B"/>
    <w:rsid w:val="007A57DE"/>
    <w:rsid w:val="007B4A7A"/>
    <w:rsid w:val="007C760C"/>
    <w:rsid w:val="007C7BBE"/>
    <w:rsid w:val="007D0DCE"/>
    <w:rsid w:val="007D4404"/>
    <w:rsid w:val="007D4988"/>
    <w:rsid w:val="007D7042"/>
    <w:rsid w:val="007E4B96"/>
    <w:rsid w:val="007F04C8"/>
    <w:rsid w:val="007F12A7"/>
    <w:rsid w:val="007F7B4C"/>
    <w:rsid w:val="00801220"/>
    <w:rsid w:val="00805A90"/>
    <w:rsid w:val="00812A2F"/>
    <w:rsid w:val="00825DE6"/>
    <w:rsid w:val="00827B86"/>
    <w:rsid w:val="0084258C"/>
    <w:rsid w:val="0084287F"/>
    <w:rsid w:val="00856D69"/>
    <w:rsid w:val="008654DC"/>
    <w:rsid w:val="00865E49"/>
    <w:rsid w:val="008661BD"/>
    <w:rsid w:val="0086649D"/>
    <w:rsid w:val="00872D69"/>
    <w:rsid w:val="0087611B"/>
    <w:rsid w:val="0087664B"/>
    <w:rsid w:val="00880EB1"/>
    <w:rsid w:val="00883EC3"/>
    <w:rsid w:val="00895DDA"/>
    <w:rsid w:val="008A012C"/>
    <w:rsid w:val="008B0624"/>
    <w:rsid w:val="008B13B1"/>
    <w:rsid w:val="008C19DA"/>
    <w:rsid w:val="008C64A4"/>
    <w:rsid w:val="008D03FF"/>
    <w:rsid w:val="008D1275"/>
    <w:rsid w:val="008E4011"/>
    <w:rsid w:val="008E5999"/>
    <w:rsid w:val="008F2604"/>
    <w:rsid w:val="008F7222"/>
    <w:rsid w:val="008F7DD8"/>
    <w:rsid w:val="00903265"/>
    <w:rsid w:val="0090440F"/>
    <w:rsid w:val="009074DA"/>
    <w:rsid w:val="0090773E"/>
    <w:rsid w:val="00910400"/>
    <w:rsid w:val="00911D44"/>
    <w:rsid w:val="00915166"/>
    <w:rsid w:val="00917D01"/>
    <w:rsid w:val="00935366"/>
    <w:rsid w:val="00935445"/>
    <w:rsid w:val="0093764A"/>
    <w:rsid w:val="0094565A"/>
    <w:rsid w:val="00945754"/>
    <w:rsid w:val="0094656C"/>
    <w:rsid w:val="009508D0"/>
    <w:rsid w:val="009516E9"/>
    <w:rsid w:val="00963EC9"/>
    <w:rsid w:val="00970CC7"/>
    <w:rsid w:val="00982DD4"/>
    <w:rsid w:val="009852F0"/>
    <w:rsid w:val="00996AF3"/>
    <w:rsid w:val="00996E6A"/>
    <w:rsid w:val="009A663D"/>
    <w:rsid w:val="009A6D46"/>
    <w:rsid w:val="009B18B5"/>
    <w:rsid w:val="009B1D15"/>
    <w:rsid w:val="009C0DC1"/>
    <w:rsid w:val="009C25BD"/>
    <w:rsid w:val="009D3A4E"/>
    <w:rsid w:val="009D7B9D"/>
    <w:rsid w:val="009E1B27"/>
    <w:rsid w:val="009E6708"/>
    <w:rsid w:val="009F2231"/>
    <w:rsid w:val="009F7674"/>
    <w:rsid w:val="00A01F33"/>
    <w:rsid w:val="00A03054"/>
    <w:rsid w:val="00A06B00"/>
    <w:rsid w:val="00A06E34"/>
    <w:rsid w:val="00A20AB0"/>
    <w:rsid w:val="00A24234"/>
    <w:rsid w:val="00A2634A"/>
    <w:rsid w:val="00A27A79"/>
    <w:rsid w:val="00A27DDB"/>
    <w:rsid w:val="00A36010"/>
    <w:rsid w:val="00A45859"/>
    <w:rsid w:val="00A46888"/>
    <w:rsid w:val="00A55408"/>
    <w:rsid w:val="00A55EB2"/>
    <w:rsid w:val="00A57C3E"/>
    <w:rsid w:val="00A632CA"/>
    <w:rsid w:val="00A64AEA"/>
    <w:rsid w:val="00A81A03"/>
    <w:rsid w:val="00AA2166"/>
    <w:rsid w:val="00AA6F7E"/>
    <w:rsid w:val="00AB013D"/>
    <w:rsid w:val="00AB2DFC"/>
    <w:rsid w:val="00AC0E03"/>
    <w:rsid w:val="00AC3E1C"/>
    <w:rsid w:val="00AC74F8"/>
    <w:rsid w:val="00AD283C"/>
    <w:rsid w:val="00AD3969"/>
    <w:rsid w:val="00AE1933"/>
    <w:rsid w:val="00AE7014"/>
    <w:rsid w:val="00AF1038"/>
    <w:rsid w:val="00AF35F8"/>
    <w:rsid w:val="00AF4B79"/>
    <w:rsid w:val="00B16FEC"/>
    <w:rsid w:val="00B17F14"/>
    <w:rsid w:val="00B2170A"/>
    <w:rsid w:val="00B25E08"/>
    <w:rsid w:val="00B3028D"/>
    <w:rsid w:val="00B3655B"/>
    <w:rsid w:val="00B422CD"/>
    <w:rsid w:val="00B521F5"/>
    <w:rsid w:val="00B60B24"/>
    <w:rsid w:val="00B6369A"/>
    <w:rsid w:val="00B71608"/>
    <w:rsid w:val="00B74660"/>
    <w:rsid w:val="00B752EC"/>
    <w:rsid w:val="00B7721F"/>
    <w:rsid w:val="00B96587"/>
    <w:rsid w:val="00BA0D3E"/>
    <w:rsid w:val="00BA17CE"/>
    <w:rsid w:val="00BA1B23"/>
    <w:rsid w:val="00BA6057"/>
    <w:rsid w:val="00BB238D"/>
    <w:rsid w:val="00BB6E2B"/>
    <w:rsid w:val="00BC1662"/>
    <w:rsid w:val="00BC280A"/>
    <w:rsid w:val="00BC3DCB"/>
    <w:rsid w:val="00BC4AF7"/>
    <w:rsid w:val="00BC5109"/>
    <w:rsid w:val="00BC7265"/>
    <w:rsid w:val="00BE4179"/>
    <w:rsid w:val="00BF1F0A"/>
    <w:rsid w:val="00BF5E17"/>
    <w:rsid w:val="00BF7755"/>
    <w:rsid w:val="00C14396"/>
    <w:rsid w:val="00C14C67"/>
    <w:rsid w:val="00C14D8F"/>
    <w:rsid w:val="00C151B2"/>
    <w:rsid w:val="00C25920"/>
    <w:rsid w:val="00C262C8"/>
    <w:rsid w:val="00C26740"/>
    <w:rsid w:val="00C35A54"/>
    <w:rsid w:val="00C56F9D"/>
    <w:rsid w:val="00C622C5"/>
    <w:rsid w:val="00C74BF6"/>
    <w:rsid w:val="00C80AA8"/>
    <w:rsid w:val="00C85C7F"/>
    <w:rsid w:val="00C90AE1"/>
    <w:rsid w:val="00C93A0C"/>
    <w:rsid w:val="00C94D33"/>
    <w:rsid w:val="00CA1763"/>
    <w:rsid w:val="00CA4E08"/>
    <w:rsid w:val="00CA6438"/>
    <w:rsid w:val="00CB16C9"/>
    <w:rsid w:val="00CB5A29"/>
    <w:rsid w:val="00CB665F"/>
    <w:rsid w:val="00CC02AF"/>
    <w:rsid w:val="00CC0747"/>
    <w:rsid w:val="00CC789B"/>
    <w:rsid w:val="00CC7CF1"/>
    <w:rsid w:val="00CE6D10"/>
    <w:rsid w:val="00CE6DE3"/>
    <w:rsid w:val="00CE6F88"/>
    <w:rsid w:val="00D03784"/>
    <w:rsid w:val="00D068FF"/>
    <w:rsid w:val="00D22FE7"/>
    <w:rsid w:val="00D24CF4"/>
    <w:rsid w:val="00D269D3"/>
    <w:rsid w:val="00D42D57"/>
    <w:rsid w:val="00D4635C"/>
    <w:rsid w:val="00D57C55"/>
    <w:rsid w:val="00D63F75"/>
    <w:rsid w:val="00D70588"/>
    <w:rsid w:val="00D72C91"/>
    <w:rsid w:val="00D75D66"/>
    <w:rsid w:val="00D77EA7"/>
    <w:rsid w:val="00D803C5"/>
    <w:rsid w:val="00D804C6"/>
    <w:rsid w:val="00D84187"/>
    <w:rsid w:val="00D92905"/>
    <w:rsid w:val="00DA5250"/>
    <w:rsid w:val="00DA77B9"/>
    <w:rsid w:val="00DB31F2"/>
    <w:rsid w:val="00DC4179"/>
    <w:rsid w:val="00DC4D09"/>
    <w:rsid w:val="00DC55CB"/>
    <w:rsid w:val="00DC5E83"/>
    <w:rsid w:val="00DD0BE3"/>
    <w:rsid w:val="00DD72F6"/>
    <w:rsid w:val="00DD7424"/>
    <w:rsid w:val="00DD7D17"/>
    <w:rsid w:val="00DF0BF6"/>
    <w:rsid w:val="00DF38DD"/>
    <w:rsid w:val="00E04D56"/>
    <w:rsid w:val="00E16E85"/>
    <w:rsid w:val="00E2040B"/>
    <w:rsid w:val="00E21CE8"/>
    <w:rsid w:val="00E311C1"/>
    <w:rsid w:val="00E32116"/>
    <w:rsid w:val="00E35FAF"/>
    <w:rsid w:val="00E46C0A"/>
    <w:rsid w:val="00E5027B"/>
    <w:rsid w:val="00E5479F"/>
    <w:rsid w:val="00E608E6"/>
    <w:rsid w:val="00E66EB8"/>
    <w:rsid w:val="00E71C67"/>
    <w:rsid w:val="00E73CEC"/>
    <w:rsid w:val="00E74376"/>
    <w:rsid w:val="00E74734"/>
    <w:rsid w:val="00E766AA"/>
    <w:rsid w:val="00E81301"/>
    <w:rsid w:val="00E826EB"/>
    <w:rsid w:val="00E83DC4"/>
    <w:rsid w:val="00E85ED2"/>
    <w:rsid w:val="00E90DAE"/>
    <w:rsid w:val="00E90DFF"/>
    <w:rsid w:val="00E92572"/>
    <w:rsid w:val="00EB14C3"/>
    <w:rsid w:val="00EB56CE"/>
    <w:rsid w:val="00EC1A53"/>
    <w:rsid w:val="00EC6D9D"/>
    <w:rsid w:val="00EF5659"/>
    <w:rsid w:val="00F011F9"/>
    <w:rsid w:val="00F04230"/>
    <w:rsid w:val="00F07313"/>
    <w:rsid w:val="00F20185"/>
    <w:rsid w:val="00F5792B"/>
    <w:rsid w:val="00F61179"/>
    <w:rsid w:val="00F72FB1"/>
    <w:rsid w:val="00F7758C"/>
    <w:rsid w:val="00F8196F"/>
    <w:rsid w:val="00F91302"/>
    <w:rsid w:val="00F9200D"/>
    <w:rsid w:val="00F94B56"/>
    <w:rsid w:val="00F96730"/>
    <w:rsid w:val="00FA28B3"/>
    <w:rsid w:val="00FA4E19"/>
    <w:rsid w:val="00FA5674"/>
    <w:rsid w:val="00FB3897"/>
    <w:rsid w:val="00FE04AB"/>
    <w:rsid w:val="00FE30BE"/>
    <w:rsid w:val="00FF5A78"/>
    <w:rsid w:val="019255E3"/>
    <w:rsid w:val="05697977"/>
    <w:rsid w:val="06087F18"/>
    <w:rsid w:val="07523A52"/>
    <w:rsid w:val="09CD71D0"/>
    <w:rsid w:val="09E55EB0"/>
    <w:rsid w:val="0ECD65D3"/>
    <w:rsid w:val="11E5021E"/>
    <w:rsid w:val="12812208"/>
    <w:rsid w:val="136B6531"/>
    <w:rsid w:val="13805ACD"/>
    <w:rsid w:val="17E91699"/>
    <w:rsid w:val="190F479E"/>
    <w:rsid w:val="1AC17B1D"/>
    <w:rsid w:val="1D9A30F6"/>
    <w:rsid w:val="1ECA5F35"/>
    <w:rsid w:val="1F551B42"/>
    <w:rsid w:val="1FCD26E2"/>
    <w:rsid w:val="207F632E"/>
    <w:rsid w:val="22A9597F"/>
    <w:rsid w:val="23B73C0F"/>
    <w:rsid w:val="25FE5060"/>
    <w:rsid w:val="28CD6A48"/>
    <w:rsid w:val="28FD62D4"/>
    <w:rsid w:val="2BC4322E"/>
    <w:rsid w:val="2DAA5509"/>
    <w:rsid w:val="2F8201AD"/>
    <w:rsid w:val="2F882535"/>
    <w:rsid w:val="30D25CB4"/>
    <w:rsid w:val="365D69AE"/>
    <w:rsid w:val="37804E7A"/>
    <w:rsid w:val="39DB6A5E"/>
    <w:rsid w:val="3A574DB6"/>
    <w:rsid w:val="3C9F3E49"/>
    <w:rsid w:val="3DF84AF5"/>
    <w:rsid w:val="3E493EFF"/>
    <w:rsid w:val="3F720822"/>
    <w:rsid w:val="4479199A"/>
    <w:rsid w:val="44911F61"/>
    <w:rsid w:val="464E3CB6"/>
    <w:rsid w:val="47A55F04"/>
    <w:rsid w:val="487475C4"/>
    <w:rsid w:val="498B34F3"/>
    <w:rsid w:val="4A084DA9"/>
    <w:rsid w:val="4BAB1A53"/>
    <w:rsid w:val="506E06A2"/>
    <w:rsid w:val="518F667E"/>
    <w:rsid w:val="52EB0F94"/>
    <w:rsid w:val="552A6EA8"/>
    <w:rsid w:val="5643492E"/>
    <w:rsid w:val="5DF268BD"/>
    <w:rsid w:val="5F7C7C98"/>
    <w:rsid w:val="5FA13D12"/>
    <w:rsid w:val="60C010EC"/>
    <w:rsid w:val="629107D2"/>
    <w:rsid w:val="63A74064"/>
    <w:rsid w:val="63F806AE"/>
    <w:rsid w:val="651C5D4D"/>
    <w:rsid w:val="67763D4A"/>
    <w:rsid w:val="6ABC7878"/>
    <w:rsid w:val="6C327AE0"/>
    <w:rsid w:val="6C4F5E8E"/>
    <w:rsid w:val="70B60C6E"/>
    <w:rsid w:val="715E0018"/>
    <w:rsid w:val="74440C39"/>
    <w:rsid w:val="74732CAD"/>
    <w:rsid w:val="767E4C78"/>
    <w:rsid w:val="77B279F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uiPriority="0" w:name="HTML Preformatted"/>
    <w:lsdException w:uiPriority="0" w:name="HTML Sample"/>
    <w:lsdException w:uiPriority="0" w:name="HTML Typewriter"/>
    <w:lsdException w:qFormat="1"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qFormat/>
    <w:uiPriority w:val="0"/>
    <w:pPr>
      <w:jc w:val="left"/>
    </w:pPr>
    <w:rPr>
      <w:color w:val="auto"/>
      <w:kern w:val="2"/>
      <w:szCs w:val="20"/>
    </w:rPr>
  </w:style>
  <w:style w:type="paragraph" w:styleId="4">
    <w:name w:val="Body Text Indent"/>
    <w:basedOn w:val="1"/>
    <w:link w:val="23"/>
    <w:unhideWhenUsed/>
    <w:qFormat/>
    <w:uiPriority w:val="99"/>
    <w:pPr>
      <w:spacing w:after="120"/>
      <w:ind w:left="420" w:leftChars="200"/>
    </w:pPr>
  </w:style>
  <w:style w:type="paragraph" w:styleId="5">
    <w:name w:val="Balloon Text"/>
    <w:basedOn w:val="1"/>
    <w:link w:val="22"/>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link w:val="24"/>
    <w:qFormat/>
    <w:uiPriority w:val="99"/>
    <w:pPr>
      <w:adjustRightInd w:val="0"/>
      <w:spacing w:after="0" w:line="312" w:lineRule="atLeast"/>
      <w:ind w:left="1296" w:leftChars="0"/>
      <w:textAlignment w:val="baseline"/>
    </w:pPr>
    <w:rPr>
      <w:rFonts w:eastAsia="仿宋_GB2312"/>
      <w:color w:val="auto"/>
      <w:kern w:val="21"/>
      <w:sz w:val="32"/>
      <w:szCs w:val="20"/>
    </w:rPr>
  </w:style>
  <w:style w:type="character" w:styleId="11">
    <w:name w:val="Strong"/>
    <w:basedOn w:val="10"/>
    <w:qFormat/>
    <w:uiPriority w:val="22"/>
    <w:rPr>
      <w:b/>
      <w:bCs/>
    </w:rPr>
  </w:style>
  <w:style w:type="character" w:styleId="12">
    <w:name w:val="FollowedHyperlink"/>
    <w:basedOn w:val="10"/>
    <w:unhideWhenUsed/>
    <w:qFormat/>
    <w:uiPriority w:val="0"/>
    <w:rPr>
      <w:color w:val="2490F8"/>
      <w:u w:val="none"/>
    </w:rPr>
  </w:style>
  <w:style w:type="character" w:styleId="13">
    <w:name w:val="HTML Definition"/>
    <w:basedOn w:val="10"/>
    <w:unhideWhenUsed/>
    <w:qFormat/>
    <w:uiPriority w:val="0"/>
  </w:style>
  <w:style w:type="character" w:styleId="14">
    <w:name w:val="HTML Variable"/>
    <w:basedOn w:val="10"/>
    <w:unhideWhenUsed/>
    <w:qFormat/>
    <w:uiPriority w:val="0"/>
  </w:style>
  <w:style w:type="character" w:styleId="15">
    <w:name w:val="Hyperlink"/>
    <w:basedOn w:val="10"/>
    <w:unhideWhenUsed/>
    <w:qFormat/>
    <w:uiPriority w:val="99"/>
    <w:rPr>
      <w:color w:val="2490F8"/>
      <w:u w:val="none"/>
    </w:rPr>
  </w:style>
  <w:style w:type="character" w:styleId="16">
    <w:name w:val="HTML Code"/>
    <w:basedOn w:val="10"/>
    <w:unhideWhenUsed/>
    <w:qFormat/>
    <w:uiPriority w:val="0"/>
    <w:rPr>
      <w:rFonts w:ascii="Courier New" w:hAnsi="Courier New"/>
      <w:sz w:val="20"/>
    </w:rPr>
  </w:style>
  <w:style w:type="character" w:styleId="17">
    <w:name w:val="HTML Cite"/>
    <w:basedOn w:val="10"/>
    <w:unhideWhenUsed/>
    <w:qFormat/>
    <w:uiPriority w:val="0"/>
  </w:style>
  <w:style w:type="paragraph" w:customStyle="1" w:styleId="18">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19">
    <w:name w:val="列出段落11"/>
    <w:basedOn w:val="1"/>
    <w:qFormat/>
    <w:uiPriority w:val="99"/>
    <w:pPr>
      <w:ind w:firstLine="420" w:firstLineChars="200"/>
    </w:pPr>
    <w:rPr>
      <w:color w:val="auto"/>
      <w:kern w:val="2"/>
      <w:szCs w:val="20"/>
    </w:rPr>
  </w:style>
  <w:style w:type="character" w:customStyle="1" w:styleId="20">
    <w:name w:val="页眉 Char"/>
    <w:basedOn w:val="10"/>
    <w:link w:val="7"/>
    <w:qFormat/>
    <w:uiPriority w:val="99"/>
    <w:rPr>
      <w:sz w:val="18"/>
      <w:szCs w:val="18"/>
    </w:rPr>
  </w:style>
  <w:style w:type="character" w:customStyle="1" w:styleId="21">
    <w:name w:val="页脚 Char"/>
    <w:basedOn w:val="10"/>
    <w:link w:val="6"/>
    <w:qFormat/>
    <w:uiPriority w:val="99"/>
    <w:rPr>
      <w:sz w:val="18"/>
      <w:szCs w:val="18"/>
    </w:rPr>
  </w:style>
  <w:style w:type="character" w:customStyle="1" w:styleId="22">
    <w:name w:val="批注框文本 Char"/>
    <w:basedOn w:val="10"/>
    <w:link w:val="5"/>
    <w:semiHidden/>
    <w:qFormat/>
    <w:uiPriority w:val="99"/>
    <w:rPr>
      <w:rFonts w:ascii="Times New Roman" w:hAnsi="Times New Roman" w:eastAsia="宋体" w:cs="Times New Roman"/>
      <w:color w:val="000000"/>
      <w:kern w:val="0"/>
      <w:sz w:val="18"/>
      <w:szCs w:val="18"/>
    </w:rPr>
  </w:style>
  <w:style w:type="character" w:customStyle="1" w:styleId="23">
    <w:name w:val="正文文本缩进 Char"/>
    <w:basedOn w:val="10"/>
    <w:link w:val="4"/>
    <w:semiHidden/>
    <w:qFormat/>
    <w:uiPriority w:val="99"/>
    <w:rPr>
      <w:rFonts w:ascii="Times New Roman" w:hAnsi="Times New Roman"/>
      <w:color w:val="000000"/>
      <w:sz w:val="21"/>
      <w:szCs w:val="24"/>
    </w:rPr>
  </w:style>
  <w:style w:type="character" w:customStyle="1" w:styleId="24">
    <w:name w:val="正文首行缩进 2 Char"/>
    <w:basedOn w:val="23"/>
    <w:link w:val="8"/>
    <w:qFormat/>
    <w:uiPriority w:val="99"/>
    <w:rPr>
      <w:rFonts w:eastAsia="仿宋_GB2312"/>
      <w:kern w:val="21"/>
      <w:sz w:val="32"/>
    </w:rPr>
  </w:style>
  <w:style w:type="character" w:customStyle="1" w:styleId="25">
    <w:name w:val="批注文字 Char"/>
    <w:basedOn w:val="10"/>
    <w:link w:val="3"/>
    <w:qFormat/>
    <w:uiPriority w:val="0"/>
    <w:rPr>
      <w:rFonts w:ascii="Times New Roman" w:hAnsi="Times New Roman"/>
      <w:kern w:val="2"/>
      <w:sz w:val="21"/>
    </w:rPr>
  </w:style>
  <w:style w:type="character" w:customStyle="1" w:styleId="26">
    <w:name w:val="hover41"/>
    <w:basedOn w:val="10"/>
    <w:qFormat/>
    <w:uiPriority w:val="0"/>
    <w:rPr>
      <w:color w:val="FFFFFF"/>
    </w:rPr>
  </w:style>
  <w:style w:type="character" w:customStyle="1" w:styleId="27">
    <w:name w:val="biggerthanmax"/>
    <w:basedOn w:val="10"/>
    <w:qFormat/>
    <w:uiPriority w:val="0"/>
    <w:rPr>
      <w:shd w:val="clear" w:color="auto" w:fill="FFFF00"/>
    </w:rPr>
  </w:style>
  <w:style w:type="character" w:customStyle="1" w:styleId="28">
    <w:name w:val="pagechatarealistclose_box"/>
    <w:basedOn w:val="10"/>
    <w:qFormat/>
    <w:uiPriority w:val="0"/>
  </w:style>
  <w:style w:type="character" w:customStyle="1" w:styleId="29">
    <w:name w:val="pagechatarealistclose_box1"/>
    <w:basedOn w:val="10"/>
    <w:qFormat/>
    <w:uiPriority w:val="0"/>
  </w:style>
  <w:style w:type="character" w:customStyle="1" w:styleId="30">
    <w:name w:val="ico1654"/>
    <w:basedOn w:val="10"/>
    <w:qFormat/>
    <w:uiPriority w:val="0"/>
  </w:style>
  <w:style w:type="character" w:customStyle="1" w:styleId="31">
    <w:name w:val="ico1655"/>
    <w:basedOn w:val="10"/>
    <w:qFormat/>
    <w:uiPriority w:val="0"/>
  </w:style>
  <w:style w:type="character" w:customStyle="1" w:styleId="32">
    <w:name w:val="choosename"/>
    <w:basedOn w:val="10"/>
    <w:qFormat/>
    <w:uiPriority w:val="0"/>
  </w:style>
  <w:style w:type="character" w:customStyle="1" w:styleId="33">
    <w:name w:val="button4"/>
    <w:basedOn w:val="10"/>
    <w:qFormat/>
    <w:uiPriority w:val="0"/>
  </w:style>
  <w:style w:type="character" w:customStyle="1" w:styleId="34">
    <w:name w:val="after"/>
    <w:basedOn w:val="10"/>
    <w:qFormat/>
    <w:uiPriority w:val="0"/>
    <w:rPr>
      <w:sz w:val="16"/>
      <w:szCs w:val="16"/>
    </w:rPr>
  </w:style>
  <w:style w:type="character" w:customStyle="1" w:styleId="35">
    <w:name w:val="tmpztreemove_arrow"/>
    <w:basedOn w:val="10"/>
    <w:qFormat/>
    <w:uiPriority w:val="0"/>
  </w:style>
  <w:style w:type="character" w:customStyle="1" w:styleId="36">
    <w:name w:val="hilite6"/>
    <w:basedOn w:val="10"/>
    <w:qFormat/>
    <w:uiPriority w:val="0"/>
    <w:rPr>
      <w:color w:val="FFFFFF"/>
      <w:shd w:val="clear" w:color="auto" w:fill="666666"/>
    </w:rPr>
  </w:style>
  <w:style w:type="character" w:customStyle="1" w:styleId="37">
    <w:name w:val="edit_class"/>
    <w:basedOn w:val="10"/>
    <w:qFormat/>
    <w:uiPriority w:val="0"/>
  </w:style>
  <w:style w:type="character" w:customStyle="1" w:styleId="38">
    <w:name w:val="icontext2"/>
    <w:basedOn w:val="10"/>
    <w:qFormat/>
    <w:uiPriority w:val="0"/>
  </w:style>
  <w:style w:type="character" w:customStyle="1" w:styleId="39">
    <w:name w:val="associateddata"/>
    <w:basedOn w:val="10"/>
    <w:qFormat/>
    <w:uiPriority w:val="0"/>
    <w:rPr>
      <w:shd w:val="clear" w:color="auto" w:fill="50A6F9"/>
    </w:rPr>
  </w:style>
  <w:style w:type="character" w:customStyle="1" w:styleId="40">
    <w:name w:val="cdropleft"/>
    <w:basedOn w:val="10"/>
    <w:qFormat/>
    <w:uiPriority w:val="0"/>
  </w:style>
  <w:style w:type="character" w:customStyle="1" w:styleId="41">
    <w:name w:val="cy"/>
    <w:basedOn w:val="10"/>
    <w:uiPriority w:val="0"/>
  </w:style>
  <w:style w:type="character" w:customStyle="1" w:styleId="42">
    <w:name w:val="w32"/>
    <w:basedOn w:val="10"/>
    <w:qFormat/>
    <w:uiPriority w:val="0"/>
  </w:style>
  <w:style w:type="character" w:customStyle="1" w:styleId="43">
    <w:name w:val="xdrichtextbox"/>
    <w:basedOn w:val="10"/>
    <w:qFormat/>
    <w:uiPriority w:val="0"/>
    <w:rPr>
      <w:color w:val="auto"/>
      <w:sz w:val="18"/>
      <w:szCs w:val="18"/>
      <w:u w:val="none"/>
      <w:bdr w:val="single" w:color="DCDCDC" w:sz="8" w:space="0"/>
      <w:shd w:val="clear" w:color="auto" w:fill="auto"/>
    </w:rPr>
  </w:style>
  <w:style w:type="character" w:customStyle="1" w:styleId="44">
    <w:name w:val="drapbtn"/>
    <w:basedOn w:val="10"/>
    <w:qFormat/>
    <w:uiPriority w:val="0"/>
  </w:style>
  <w:style w:type="character" w:customStyle="1" w:styleId="45">
    <w:name w:val="cdropright"/>
    <w:basedOn w:val="10"/>
    <w:qFormat/>
    <w:uiPriority w:val="0"/>
  </w:style>
  <w:style w:type="character" w:customStyle="1" w:styleId="46">
    <w:name w:val="icontext1"/>
    <w:basedOn w:val="10"/>
    <w:qFormat/>
    <w:uiPriority w:val="0"/>
  </w:style>
  <w:style w:type="character" w:customStyle="1" w:styleId="47">
    <w:name w:val="icontext11"/>
    <w:basedOn w:val="10"/>
    <w:qFormat/>
    <w:uiPriority w:val="0"/>
  </w:style>
  <w:style w:type="character" w:customStyle="1" w:styleId="48">
    <w:name w:val="icontext12"/>
    <w:basedOn w:val="10"/>
    <w:qFormat/>
    <w:uiPriority w:val="0"/>
  </w:style>
  <w:style w:type="character" w:customStyle="1" w:styleId="49">
    <w:name w:val="icontext3"/>
    <w:basedOn w:val="10"/>
    <w:qFormat/>
    <w:uiPriority w:val="0"/>
  </w:style>
  <w:style w:type="character" w:customStyle="1" w:styleId="50">
    <w:name w:val="iconline2"/>
    <w:basedOn w:val="10"/>
    <w:uiPriority w:val="0"/>
  </w:style>
  <w:style w:type="character" w:customStyle="1" w:styleId="51">
    <w:name w:val="iconline21"/>
    <w:basedOn w:val="10"/>
    <w:qFormat/>
    <w:uiPriority w:val="0"/>
  </w:style>
  <w:style w:type="character" w:customStyle="1" w:styleId="52">
    <w:name w:val="active5"/>
    <w:basedOn w:val="10"/>
    <w:qFormat/>
    <w:uiPriority w:val="0"/>
    <w:rPr>
      <w:color w:val="00FF00"/>
      <w:shd w:val="clear" w:color="auto" w:fill="111111"/>
    </w:rPr>
  </w:style>
  <w:style w:type="character" w:customStyle="1" w:styleId="53">
    <w:name w:val="active6"/>
    <w:basedOn w:val="10"/>
    <w:qFormat/>
    <w:uiPriority w:val="0"/>
    <w:rPr>
      <w:shd w:val="clear" w:color="auto" w:fill="EC3535"/>
    </w:rPr>
  </w:style>
  <w:style w:type="character" w:customStyle="1" w:styleId="54">
    <w:name w:val="layui-layer-tabnow"/>
    <w:basedOn w:val="10"/>
    <w:qFormat/>
    <w:uiPriority w:val="0"/>
    <w:rPr>
      <w:bdr w:val="single" w:color="CCCCCC" w:sz="6" w:space="0"/>
      <w:shd w:val="clear" w:color="auto" w:fill="FFFFFF"/>
    </w:rPr>
  </w:style>
  <w:style w:type="character" w:customStyle="1" w:styleId="55">
    <w:name w:val="first-child"/>
    <w:basedOn w:val="10"/>
    <w:qFormat/>
    <w:uiPriority w:val="0"/>
  </w:style>
  <w:style w:type="character" w:customStyle="1" w:styleId="56">
    <w:name w:val="design_class"/>
    <w:basedOn w:val="10"/>
    <w:qFormat/>
    <w:uiPriority w:val="0"/>
  </w:style>
  <w:style w:type="character" w:customStyle="1" w:styleId="57">
    <w:name w:val="active"/>
    <w:basedOn w:val="10"/>
    <w:qFormat/>
    <w:uiPriority w:val="0"/>
    <w:rPr>
      <w:color w:val="00FF00"/>
      <w:shd w:val="clear" w:color="auto" w:fill="111111"/>
    </w:rPr>
  </w:style>
  <w:style w:type="character" w:customStyle="1" w:styleId="58">
    <w:name w:val="ico1653"/>
    <w:basedOn w:val="10"/>
    <w:qFormat/>
    <w:uiPriority w:val="0"/>
  </w:style>
  <w:style w:type="character" w:customStyle="1" w:styleId="59">
    <w:name w:val="hilite"/>
    <w:basedOn w:val="10"/>
    <w:uiPriority w:val="0"/>
    <w:rPr>
      <w:color w:val="FFFFFF"/>
      <w:shd w:val="clear" w:color="auto" w:fill="666666"/>
    </w:rPr>
  </w:style>
  <w:style w:type="paragraph" w:customStyle="1" w:styleId="60">
    <w:name w:val="reader-word-layer reader-word-s1-0 reader-word-s1-1"/>
    <w:basedOn w:val="1"/>
    <w:qFormat/>
    <w:uiPriority w:val="0"/>
    <w:pPr>
      <w:widowControl/>
      <w:spacing w:before="100" w:beforeAutospacing="1" w:after="100" w:afterAutospacing="1"/>
      <w:jc w:val="left"/>
    </w:pPr>
    <w:rPr>
      <w:rFonts w:ascii="宋体" w:hAnsi="宋体" w:cs="宋体"/>
      <w:color w:val="auto"/>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6</Pages>
  <Words>3382</Words>
  <Characters>3646</Characters>
  <Lines>29</Lines>
  <Paragraphs>8</Paragraphs>
  <TotalTime>0</TotalTime>
  <ScaleCrop>false</ScaleCrop>
  <LinksUpToDate>false</LinksUpToDate>
  <CharactersWithSpaces>3883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2018-12-14T03:47:00Z</dcterms:created>
  <dc:creator>徐颖秀</dc:creator>
  <cp:lastModifiedBy>DELL</cp:lastModifiedBy>
  <cp:lastPrinted>2023-02-13T07:20:00Z</cp:lastPrinted>
  <dcterms:modified xsi:type="dcterms:W3CDTF">2023-03-02T08:14:12Z</dcterms:modified>
  <dc:title>镇江海纳川物流产业发展有限责任公司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0043533B6A2540F48AB607C753D05651</vt:lpwstr>
  </property>
</Properties>
</file>