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60" w:line="600" w:lineRule="exact"/>
        <w:rPr>
          <w:rFonts w:hint="eastAsia" w:ascii="方正小标宋简体" w:hAnsi="宋体" w:eastAsia="方正小标宋简体"/>
        </w:rPr>
      </w:pPr>
      <w:r>
        <w:rPr>
          <w:rFonts w:hint="eastAsia" w:ascii="方正小标宋简体" w:hAnsi="宋体" w:eastAsia="方正小标宋简体"/>
        </w:rPr>
        <w:t>镇江海纳川物流产业发展有限责任公司</w:t>
      </w:r>
    </w:p>
    <w:p>
      <w:pPr>
        <w:pStyle w:val="2"/>
        <w:spacing w:after="160" w:line="600" w:lineRule="exact"/>
        <w:rPr>
          <w:rFonts w:hint="eastAsia" w:ascii="方正小标宋简体" w:hAnsi="宋体" w:eastAsia="方正小标宋简体"/>
        </w:rPr>
      </w:pPr>
      <w:r>
        <w:rPr>
          <w:rFonts w:hint="eastAsia" w:ascii="方正小标宋简体" w:hAnsi="宋体" w:eastAsia="方正小标宋简体"/>
        </w:rPr>
        <w:t>招标文件</w:t>
      </w:r>
    </w:p>
    <w:p>
      <w:pPr>
        <w:spacing w:after="160"/>
      </w:pPr>
    </w:p>
    <w:p>
      <w:pPr>
        <w:widowControl w:val="0"/>
        <w:tabs>
          <w:tab w:val="left" w:pos="180"/>
        </w:tabs>
        <w:wordWrap w:val="0"/>
        <w:spacing w:line="360" w:lineRule="auto"/>
        <w:ind w:firstLine="640" w:firstLineChars="200"/>
        <w:jc w:val="left"/>
        <w:rPr>
          <w:rFonts w:hint="eastAsia" w:ascii="方正黑体_GBK" w:hAnsi="仿宋_GB2312" w:eastAsia="方正黑体_GBK" w:cs="仿宋_GB2312"/>
          <w:kern w:val="1"/>
          <w:sz w:val="32"/>
          <w:szCs w:val="32"/>
        </w:rPr>
      </w:pPr>
      <w:r>
        <w:rPr>
          <w:rFonts w:hint="eastAsia" w:ascii="方正黑体_GBK" w:hAnsi="仿宋_GB2312" w:eastAsia="方正黑体_GBK" w:cs="仿宋_GB2312"/>
          <w:kern w:val="1"/>
          <w:sz w:val="32"/>
          <w:szCs w:val="32"/>
        </w:rPr>
        <w:t>一、报价须知</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 xml:space="preserve">1．招标项目： </w:t>
      </w:r>
      <w:r>
        <w:rPr>
          <w:rFonts w:hint="eastAsia" w:ascii="方正仿宋简体" w:hAnsi="仿宋_GB2312" w:eastAsia="方正仿宋简体" w:cs="仿宋_GB2312"/>
          <w:kern w:val="32"/>
          <w:sz w:val="32"/>
          <w:szCs w:val="32"/>
          <w:u w:val="single"/>
        </w:rPr>
        <w:t>海纳川办公楼防雷接地改造施工；</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 xml:space="preserve">2．项目编号： </w:t>
      </w:r>
      <w:r>
        <w:rPr>
          <w:rFonts w:hint="eastAsia" w:ascii="方正仿宋简体" w:hAnsi="仿宋_GB2312" w:eastAsia="方正仿宋简体" w:cs="仿宋_GB2312"/>
          <w:kern w:val="32"/>
          <w:sz w:val="32"/>
          <w:szCs w:val="32"/>
          <w:u w:val="single"/>
        </w:rPr>
        <w:t xml:space="preserve"> HJHB-2023-1007            ；</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3．投标有效期：</w:t>
      </w:r>
      <w:r>
        <w:rPr>
          <w:rFonts w:hint="eastAsia" w:ascii="方正仿宋简体" w:hAnsi="仿宋_GB2312" w:eastAsia="方正仿宋简体" w:cs="仿宋_GB2312"/>
          <w:kern w:val="32"/>
          <w:sz w:val="32"/>
          <w:szCs w:val="32"/>
          <w:u w:val="single"/>
        </w:rPr>
        <w:t>不得少于自投标截止之日起 30 日；</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 xml:space="preserve">4．施工地点： </w:t>
      </w:r>
      <w:r>
        <w:rPr>
          <w:rFonts w:hint="eastAsia" w:ascii="方正仿宋简体" w:hAnsi="仿宋_GB2312" w:eastAsia="方正仿宋简体" w:cs="仿宋_GB2312"/>
          <w:kern w:val="32"/>
          <w:sz w:val="32"/>
          <w:szCs w:val="32"/>
          <w:u w:val="single"/>
        </w:rPr>
        <w:t xml:space="preserve">海纳川办公楼  </w:t>
      </w:r>
      <w:r>
        <w:rPr>
          <w:rFonts w:hint="eastAsia" w:ascii="方正仿宋简体" w:hAnsi="仿宋_GB2312" w:eastAsia="方正仿宋简体" w:cs="仿宋_GB2312"/>
          <w:kern w:val="1"/>
          <w:sz w:val="32"/>
          <w:szCs w:val="32"/>
        </w:rPr>
        <w:t xml:space="preserve">               ；</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5．施工期限：</w:t>
      </w:r>
      <w:r>
        <w:rPr>
          <w:rFonts w:hint="eastAsia" w:ascii="方正仿宋简体" w:hAnsi="仿宋_GB2312" w:eastAsia="方正仿宋简体" w:cs="仿宋_GB2312"/>
          <w:kern w:val="32"/>
          <w:sz w:val="32"/>
          <w:szCs w:val="32"/>
          <w:u w:val="single"/>
        </w:rPr>
        <w:t>合同签订后30日内；</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6．付款须知：项目验收合格后，中标方根据招标方提供的审计认定单开具增值税发票，招标方在收到发票后</w:t>
      </w:r>
      <w:r>
        <w:rPr>
          <w:rFonts w:hint="eastAsia" w:ascii="方正仿宋简体" w:hAnsi="Calibri" w:eastAsia="方正仿宋简体" w:cs="Calibri"/>
          <w:kern w:val="1"/>
          <w:sz w:val="32"/>
          <w:szCs w:val="32"/>
        </w:rPr>
        <w:t> </w:t>
      </w:r>
      <w:r>
        <w:rPr>
          <w:rFonts w:hint="eastAsia" w:ascii="方正仿宋简体" w:hAnsi="仿宋_GB2312" w:eastAsia="方正仿宋简体" w:cs="仿宋_GB2312"/>
          <w:kern w:val="1"/>
          <w:sz w:val="32"/>
          <w:szCs w:val="32"/>
        </w:rPr>
        <w:t>60 日内以承兑方式付款95%；质保金5%，质保期1年。</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7．招标控制价：13万元（含税）高于控制价作废标处理；</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8．当有效投标大于等于3家时推荐中标候选人三名；</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9．投标书格式要求：见招标文件及附件；</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10．投标截止时间： 2023年 3月</w:t>
      </w:r>
      <w:r>
        <w:rPr>
          <w:rFonts w:hint="eastAsia" w:ascii="方正仿宋简体" w:hAnsi="仿宋_GB2312" w:eastAsia="方正仿宋简体" w:cs="仿宋_GB2312"/>
          <w:kern w:val="1"/>
          <w:sz w:val="32"/>
          <w:szCs w:val="32"/>
          <w:lang w:val="en-US" w:eastAsia="zh-CN"/>
        </w:rPr>
        <w:t>28</w:t>
      </w:r>
      <w:r>
        <w:rPr>
          <w:rFonts w:hint="eastAsia"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lang w:val="en-US" w:eastAsia="zh-CN"/>
        </w:rPr>
        <w:t>下</w:t>
      </w:r>
      <w:r>
        <w:rPr>
          <w:rFonts w:hint="eastAsia" w:ascii="方正仿宋简体" w:hAnsi="仿宋_GB2312" w:eastAsia="方正仿宋简体" w:cs="仿宋_GB2312"/>
          <w:kern w:val="1"/>
          <w:sz w:val="32"/>
          <w:szCs w:val="32"/>
        </w:rPr>
        <w:t>午</w:t>
      </w:r>
      <w:r>
        <w:rPr>
          <w:rFonts w:hint="eastAsia" w:ascii="方正仿宋简体" w:hAnsi="仿宋_GB2312" w:eastAsia="方正仿宋简体" w:cs="仿宋_GB2312"/>
          <w:kern w:val="1"/>
          <w:sz w:val="32"/>
          <w:szCs w:val="32"/>
          <w:lang w:val="en-US" w:eastAsia="zh-CN"/>
        </w:rPr>
        <w:t>2</w:t>
      </w:r>
      <w:r>
        <w:rPr>
          <w:rFonts w:hint="eastAsia" w:ascii="方正仿宋简体" w:hAnsi="仿宋_GB2312" w:eastAsia="方正仿宋简体" w:cs="仿宋_GB2312"/>
          <w:kern w:val="1"/>
          <w:sz w:val="32"/>
          <w:szCs w:val="32"/>
        </w:rPr>
        <w:t>点 ；</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11．初定开标时间： 2023年3月</w:t>
      </w:r>
      <w:r>
        <w:rPr>
          <w:rFonts w:hint="eastAsia" w:ascii="方正仿宋简体" w:hAnsi="仿宋_GB2312" w:eastAsia="方正仿宋简体" w:cs="仿宋_GB2312"/>
          <w:kern w:val="1"/>
          <w:sz w:val="32"/>
          <w:szCs w:val="32"/>
          <w:lang w:val="en-US" w:eastAsia="zh-CN"/>
        </w:rPr>
        <w:t>28</w:t>
      </w:r>
      <w:r>
        <w:rPr>
          <w:rFonts w:hint="eastAsia"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lang w:val="en-US" w:eastAsia="zh-CN"/>
        </w:rPr>
        <w:t>下</w:t>
      </w:r>
      <w:r>
        <w:rPr>
          <w:rFonts w:hint="eastAsia" w:ascii="方正仿宋简体" w:hAnsi="仿宋_GB2312" w:eastAsia="方正仿宋简体" w:cs="仿宋_GB2312"/>
          <w:kern w:val="1"/>
          <w:sz w:val="32"/>
          <w:szCs w:val="32"/>
        </w:rPr>
        <w:t>午</w:t>
      </w:r>
      <w:r>
        <w:rPr>
          <w:rFonts w:hint="eastAsia" w:ascii="方正仿宋简体" w:hAnsi="仿宋_GB2312" w:eastAsia="方正仿宋简体" w:cs="仿宋_GB2312"/>
          <w:kern w:val="1"/>
          <w:sz w:val="32"/>
          <w:szCs w:val="32"/>
          <w:lang w:val="en-US" w:eastAsia="zh-CN"/>
        </w:rPr>
        <w:t>2</w:t>
      </w:r>
      <w:r>
        <w:rPr>
          <w:rFonts w:hint="eastAsia" w:ascii="方正仿宋简体" w:hAnsi="仿宋_GB2312" w:eastAsia="方正仿宋简体" w:cs="仿宋_GB2312"/>
          <w:kern w:val="1"/>
          <w:sz w:val="32"/>
          <w:szCs w:val="32"/>
        </w:rPr>
        <w:t>点 ；</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12．开标地点：镇江海纳川物流产业发展有限责任公司；</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13．标书包装完在封口处加盖密封章或公章，密封好的标书应注明项目名称和投标人名称，不得有破损。对未按要求密封和加写标记的投标文件，招标方将予以拒绝，并退回投标人。</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14．如投标人需咨询有关本次招标的其它相关事宜，请按下述方式联系：</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公司：镇江海纳川物流产业发展有限责任公司</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地址：江苏省镇江市求索路66号（海纳川211室风险控制部）</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邮编：212006          邮箱：</w:t>
      </w:r>
      <w:r>
        <w:fldChar w:fldCharType="begin"/>
      </w:r>
      <w:r>
        <w:instrText xml:space="preserve"> HYPERLINK "mailto:hnc_scfwc@sina.com" </w:instrText>
      </w:r>
      <w:r>
        <w:fldChar w:fldCharType="separate"/>
      </w:r>
      <w:r>
        <w:rPr>
          <w:rFonts w:hint="eastAsia" w:ascii="方正仿宋简体" w:hAnsi="仿宋_GB2312" w:eastAsia="方正仿宋简体" w:cs="仿宋_GB2312"/>
          <w:kern w:val="1"/>
          <w:sz w:val="32"/>
          <w:szCs w:val="32"/>
        </w:rPr>
        <w:t>hnc_scfwc@163.com</w:t>
      </w:r>
      <w:r>
        <w:rPr>
          <w:rFonts w:hint="eastAsia" w:ascii="方正仿宋简体" w:hAnsi="仿宋_GB2312" w:eastAsia="方正仿宋简体" w:cs="仿宋_GB2312"/>
          <w:kern w:val="1"/>
          <w:sz w:val="32"/>
          <w:szCs w:val="32"/>
        </w:rPr>
        <w:fldChar w:fldCharType="end"/>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招标联系人：邵蕾      电话：0511-88995879</w:t>
      </w:r>
    </w:p>
    <w:p>
      <w:pPr>
        <w:widowControl w:val="0"/>
        <w:tabs>
          <w:tab w:val="left" w:pos="180"/>
        </w:tabs>
        <w:wordWrap w:val="0"/>
        <w:spacing w:line="360" w:lineRule="auto"/>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技术联系人：卞骏      手机：15306107162</w:t>
      </w:r>
    </w:p>
    <w:p>
      <w:pPr>
        <w:widowControl w:val="0"/>
        <w:tabs>
          <w:tab w:val="left" w:pos="180"/>
        </w:tabs>
        <w:wordWrap w:val="0"/>
        <w:spacing w:line="360" w:lineRule="auto"/>
        <w:ind w:firstLine="640" w:firstLineChars="200"/>
        <w:jc w:val="left"/>
        <w:rPr>
          <w:rFonts w:hint="eastAsia" w:ascii="方正黑体_GBK" w:hAnsi="仿宋_GB2312" w:eastAsia="方正黑体_GBK" w:cs="仿宋_GB2312"/>
          <w:kern w:val="1"/>
          <w:sz w:val="32"/>
          <w:szCs w:val="32"/>
        </w:rPr>
      </w:pPr>
      <w:r>
        <w:rPr>
          <w:rFonts w:hint="eastAsia" w:ascii="方正黑体_GBK" w:hAnsi="仿宋_GB2312" w:eastAsia="方正黑体_GBK" w:cs="仿宋_GB2312"/>
          <w:kern w:val="1"/>
          <w:sz w:val="32"/>
          <w:szCs w:val="32"/>
        </w:rPr>
        <w:t>二、对投标人的基本要求</w:t>
      </w:r>
    </w:p>
    <w:p>
      <w:pPr>
        <w:wordWrap w:val="0"/>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 w:eastAsia="方正仿宋简体"/>
          <w:sz w:val="32"/>
          <w:szCs w:val="32"/>
        </w:rPr>
        <w:t>1．投标人应保证投标文件内容完整、真实、准确，招标方于任何时间发现投标人所提供资料不能满足相关要求的，均有权废弃该投标人的投标文件。</w:t>
      </w:r>
    </w:p>
    <w:p>
      <w:pPr>
        <w:wordWrap w:val="0"/>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widowControl w:val="0"/>
        <w:tabs>
          <w:tab w:val="left" w:pos="180"/>
        </w:tabs>
        <w:wordWrap w:val="0"/>
        <w:spacing w:line="360" w:lineRule="auto"/>
        <w:ind w:firstLine="640" w:firstLineChars="200"/>
        <w:jc w:val="left"/>
        <w:rPr>
          <w:rFonts w:hint="eastAsia" w:ascii="方正黑体_GBK" w:hAnsi="仿宋_GB2312" w:eastAsia="方正黑体_GBK" w:cs="仿宋_GB2312"/>
          <w:kern w:val="1"/>
          <w:sz w:val="32"/>
          <w:szCs w:val="32"/>
        </w:rPr>
      </w:pPr>
      <w:r>
        <w:rPr>
          <w:rFonts w:hint="eastAsia" w:ascii="方正黑体_GBK" w:hAnsi="仿宋_GB2312" w:eastAsia="方正黑体_GBK" w:cs="仿宋_GB2312"/>
          <w:kern w:val="1"/>
          <w:sz w:val="32"/>
          <w:szCs w:val="32"/>
        </w:rPr>
        <w:t>三、投标人须提供下列文件（未按要求作废标处理）</w:t>
      </w:r>
    </w:p>
    <w:p>
      <w:pPr>
        <w:wordWrap w:val="0"/>
        <w:spacing w:line="360" w:lineRule="auto"/>
        <w:ind w:firstLine="640" w:firstLineChars="200"/>
        <w:jc w:val="left"/>
        <w:rPr>
          <w:rFonts w:hint="eastAsia" w:ascii="方正仿宋简体" w:hAnsi="仿宋_GB2312" w:eastAsia="方正仿宋简体" w:cs="仿宋_GB2312"/>
          <w:color w:val="FF0000"/>
          <w:sz w:val="32"/>
          <w:szCs w:val="32"/>
        </w:rPr>
      </w:pPr>
      <w:r>
        <w:rPr>
          <w:rFonts w:hint="eastAsia" w:ascii="方正仿宋简体" w:hAnsi="仿宋_GB2312" w:eastAsia="方正仿宋简体" w:cs="仿宋_GB2312"/>
          <w:color w:val="FF0000"/>
          <w:sz w:val="32"/>
          <w:szCs w:val="32"/>
        </w:rPr>
        <w:t>1．投标人资格证明证件：提供营业执照和资质证书（电力工程施工总承包叁级或建筑机电安装工程专业承包叁级或市政公用工程施工总承包三级）；安全生产许可证；特种作业证（高处作业）；新点软件制作的造价清单。（提供复印件，需加盖公章）</w:t>
      </w:r>
    </w:p>
    <w:p>
      <w:pPr>
        <w:wordWrap w:val="0"/>
        <w:spacing w:line="360" w:lineRule="auto"/>
        <w:ind w:firstLine="480" w:firstLineChars="15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2．招标方提供的</w:t>
      </w:r>
      <w:r>
        <w:rPr>
          <w:rFonts w:hint="eastAsia" w:ascii="方正仿宋简体" w:hAnsi="仿宋_GB2312" w:eastAsia="方正仿宋简体" w:cs="仿宋_GB2312"/>
          <w:b/>
          <w:bCs/>
          <w:color w:val="FF0000"/>
          <w:sz w:val="32"/>
          <w:szCs w:val="32"/>
        </w:rPr>
        <w:t>报价函（附件一）</w:t>
      </w:r>
      <w:r>
        <w:rPr>
          <w:rFonts w:hint="eastAsia" w:ascii="方正仿宋简体" w:hAnsi="仿宋_GB2312" w:eastAsia="方正仿宋简体" w:cs="仿宋_GB2312"/>
          <w:sz w:val="32"/>
          <w:szCs w:val="32"/>
        </w:rPr>
        <w:t>及</w:t>
      </w:r>
      <w:r>
        <w:rPr>
          <w:rFonts w:hint="eastAsia" w:ascii="方正仿宋简体" w:hAnsi="仿宋_GB2312" w:eastAsia="方正仿宋简体" w:cs="仿宋_GB2312"/>
          <w:b/>
          <w:bCs/>
          <w:color w:val="FF0000"/>
          <w:sz w:val="32"/>
          <w:szCs w:val="32"/>
        </w:rPr>
        <w:t>开标一览表（附件二）</w:t>
      </w:r>
      <w:r>
        <w:rPr>
          <w:rFonts w:hint="eastAsia" w:ascii="方正仿宋简体" w:hAnsi="仿宋_GB2312" w:eastAsia="方正仿宋简体" w:cs="仿宋_GB2312"/>
          <w:sz w:val="32"/>
          <w:szCs w:val="32"/>
        </w:rPr>
        <w:t>；</w:t>
      </w:r>
    </w:p>
    <w:p>
      <w:pPr>
        <w:wordWrap w:val="0"/>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3．投标人认为需要补充的其他事项；</w:t>
      </w:r>
    </w:p>
    <w:p>
      <w:pPr>
        <w:wordWrap w:val="0"/>
        <w:spacing w:line="360" w:lineRule="auto"/>
        <w:ind w:firstLine="640" w:firstLineChars="200"/>
        <w:rPr>
          <w:rFonts w:hint="eastAsia" w:ascii="方正仿宋简体" w:hAnsi="仿宋_GB2312" w:eastAsia="方正仿宋简体" w:cs="仿宋_GB2312"/>
          <w:color w:val="FF0000"/>
          <w:kern w:val="1"/>
          <w:sz w:val="32"/>
          <w:szCs w:val="32"/>
        </w:rPr>
      </w:pPr>
      <w:r>
        <w:rPr>
          <w:rFonts w:hint="eastAsia" w:ascii="方正仿宋简体" w:hAnsi="仿宋_GB2312" w:eastAsia="方正仿宋简体" w:cs="仿宋_GB2312"/>
          <w:sz w:val="32"/>
          <w:szCs w:val="32"/>
        </w:rPr>
        <w:t>4．投标人须提交正本</w:t>
      </w:r>
      <w:r>
        <w:rPr>
          <w:rFonts w:hint="eastAsia" w:ascii="方正仿宋简体" w:hAnsi="仿宋_GB2312" w:eastAsia="方正仿宋简体" w:cs="仿宋_GB2312"/>
          <w:sz w:val="32"/>
          <w:szCs w:val="32"/>
          <w:u w:val="single"/>
        </w:rPr>
        <w:t xml:space="preserve">  1  </w:t>
      </w:r>
      <w:r>
        <w:rPr>
          <w:rFonts w:hint="eastAsia" w:ascii="方正仿宋简体" w:hAnsi="仿宋_GB2312" w:eastAsia="方正仿宋简体" w:cs="仿宋_GB2312"/>
          <w:sz w:val="32"/>
          <w:szCs w:val="32"/>
        </w:rPr>
        <w:t>份，副本</w:t>
      </w:r>
      <w:r>
        <w:rPr>
          <w:rFonts w:hint="eastAsia" w:ascii="方正仿宋简体" w:hAnsi="仿宋_GB2312" w:eastAsia="方正仿宋简体" w:cs="仿宋_GB2312"/>
          <w:sz w:val="32"/>
          <w:szCs w:val="32"/>
          <w:u w:val="single"/>
        </w:rPr>
        <w:t xml:space="preserve">  1  </w:t>
      </w:r>
      <w:r>
        <w:rPr>
          <w:rFonts w:hint="eastAsia" w:ascii="方正仿宋简体" w:hAnsi="仿宋_GB2312" w:eastAsia="方正仿宋简体" w:cs="仿宋_GB2312"/>
          <w:sz w:val="32"/>
          <w:szCs w:val="32"/>
        </w:rPr>
        <w:t>份，同时将投标文件用A4纸装订成册，报价以人民币结算。</w:t>
      </w:r>
    </w:p>
    <w:p>
      <w:pPr>
        <w:widowControl w:val="0"/>
        <w:tabs>
          <w:tab w:val="left" w:pos="180"/>
        </w:tabs>
        <w:wordWrap w:val="0"/>
        <w:spacing w:line="360" w:lineRule="auto"/>
        <w:ind w:firstLine="640" w:firstLineChars="200"/>
        <w:jc w:val="left"/>
        <w:rPr>
          <w:rFonts w:hint="eastAsia" w:ascii="方正黑体_GBK" w:hAnsi="仿宋_GB2312" w:eastAsia="方正黑体_GBK" w:cs="仿宋_GB2312"/>
          <w:kern w:val="1"/>
          <w:sz w:val="32"/>
          <w:szCs w:val="32"/>
        </w:rPr>
      </w:pPr>
      <w:r>
        <w:rPr>
          <w:rFonts w:hint="eastAsia" w:ascii="方正黑体_GBK" w:hAnsi="仿宋_GB2312" w:eastAsia="方正黑体_GBK" w:cs="仿宋_GB2312"/>
          <w:kern w:val="1"/>
          <w:sz w:val="32"/>
          <w:szCs w:val="32"/>
        </w:rPr>
        <w:t>四、报价货物清单及技术要求（材料设备类/安装维修类）</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1.工作量及材料清单：（详见附件：防雷平面图、接地平面图）</w:t>
      </w:r>
    </w:p>
    <w:tbl>
      <w:tblPr>
        <w:tblStyle w:val="28"/>
        <w:tblpPr w:leftFromText="180" w:rightFromText="180" w:vertAnchor="text" w:horzAnchor="page" w:tblpX="1437" w:tblpY="391"/>
        <w:tblOverlap w:val="never"/>
        <w:tblW w:w="8926" w:type="dxa"/>
        <w:tblInd w:w="0" w:type="dxa"/>
        <w:tblLayout w:type="fixed"/>
        <w:tblCellMar>
          <w:top w:w="0" w:type="dxa"/>
          <w:left w:w="108" w:type="dxa"/>
          <w:bottom w:w="0" w:type="dxa"/>
          <w:right w:w="108" w:type="dxa"/>
        </w:tblCellMar>
      </w:tblPr>
      <w:tblGrid>
        <w:gridCol w:w="992"/>
        <w:gridCol w:w="4957"/>
        <w:gridCol w:w="1276"/>
        <w:gridCol w:w="1701"/>
      </w:tblGrid>
      <w:tr>
        <w:tblPrEx>
          <w:tblCellMar>
            <w:top w:w="0" w:type="dxa"/>
            <w:left w:w="108" w:type="dxa"/>
            <w:bottom w:w="0" w:type="dxa"/>
            <w:right w:w="108" w:type="dxa"/>
          </w:tblCellMar>
        </w:tblPrEx>
        <w:trPr>
          <w:trHeight w:val="540" w:hRule="atLeast"/>
        </w:trPr>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序号</w:t>
            </w:r>
          </w:p>
        </w:tc>
        <w:tc>
          <w:tcPr>
            <w:tcW w:w="495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工作内容</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数量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备注</w:t>
            </w:r>
          </w:p>
        </w:tc>
      </w:tr>
      <w:tr>
        <w:tblPrEx>
          <w:tblCellMar>
            <w:top w:w="0" w:type="dxa"/>
            <w:left w:w="108" w:type="dxa"/>
            <w:bottom w:w="0" w:type="dxa"/>
            <w:right w:w="108" w:type="dxa"/>
          </w:tblCellMar>
        </w:tblPrEx>
        <w:trPr>
          <w:trHeight w:val="530" w:hRule="atLeast"/>
        </w:trPr>
        <w:tc>
          <w:tcPr>
            <w:tcW w:w="99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1</w:t>
            </w:r>
          </w:p>
        </w:tc>
        <w:tc>
          <w:tcPr>
            <w:tcW w:w="4957" w:type="dxa"/>
            <w:tcBorders>
              <w:top w:val="nil"/>
              <w:left w:val="nil"/>
              <w:bottom w:val="single" w:color="auto" w:sz="4" w:space="0"/>
              <w:right w:val="single" w:color="auto" w:sz="4" w:space="0"/>
            </w:tcBorders>
            <w:shd w:val="clear" w:color="auto" w:fill="auto"/>
            <w:noWrap/>
            <w:vAlign w:val="center"/>
          </w:tcPr>
          <w:p>
            <w:pPr>
              <w:widowControl w:val="0"/>
              <w:rPr>
                <w:rFonts w:hint="eastAsia" w:ascii="方正仿宋简体" w:eastAsia="方正仿宋简体"/>
                <w:kern w:val="2"/>
                <w:sz w:val="32"/>
                <w:szCs w:val="32"/>
              </w:rPr>
            </w:pPr>
            <w:r>
              <w:rPr>
                <w:rFonts w:hint="eastAsia" w:ascii="方正仿宋简体" w:eastAsia="方正仿宋简体"/>
                <w:kern w:val="2"/>
                <w:sz w:val="32"/>
                <w:szCs w:val="32"/>
              </w:rPr>
              <w:t>Φ10热镀锌圆钢避雷带安装</w:t>
            </w:r>
          </w:p>
        </w:tc>
        <w:tc>
          <w:tcPr>
            <w:tcW w:w="1276" w:type="dxa"/>
            <w:tcBorders>
              <w:top w:val="nil"/>
              <w:left w:val="nil"/>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700米</w:t>
            </w:r>
          </w:p>
        </w:tc>
        <w:tc>
          <w:tcPr>
            <w:tcW w:w="1701" w:type="dxa"/>
            <w:tcBorders>
              <w:top w:val="nil"/>
              <w:left w:val="nil"/>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highlight w:val="yellow"/>
              </w:rPr>
            </w:pPr>
            <w:r>
              <w:rPr>
                <w:rFonts w:hint="eastAsia" w:ascii="方正仿宋简体" w:hAnsi="宋体" w:eastAsia="方正仿宋简体" w:cs="宋体"/>
                <w:kern w:val="2"/>
                <w:sz w:val="32"/>
                <w:szCs w:val="32"/>
              </w:rPr>
              <w:t>中标方供</w:t>
            </w:r>
          </w:p>
        </w:tc>
      </w:tr>
      <w:tr>
        <w:tblPrEx>
          <w:tblCellMar>
            <w:top w:w="0" w:type="dxa"/>
            <w:left w:w="108" w:type="dxa"/>
            <w:bottom w:w="0" w:type="dxa"/>
            <w:right w:w="108" w:type="dxa"/>
          </w:tblCellMar>
        </w:tblPrEx>
        <w:trPr>
          <w:trHeight w:val="530" w:hRule="atLeast"/>
        </w:trPr>
        <w:tc>
          <w:tcPr>
            <w:tcW w:w="99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2</w:t>
            </w:r>
          </w:p>
        </w:tc>
        <w:tc>
          <w:tcPr>
            <w:tcW w:w="4957" w:type="dxa"/>
            <w:tcBorders>
              <w:top w:val="nil"/>
              <w:left w:val="nil"/>
              <w:bottom w:val="single" w:color="auto" w:sz="4" w:space="0"/>
              <w:right w:val="single" w:color="auto" w:sz="4" w:space="0"/>
            </w:tcBorders>
            <w:shd w:val="clear" w:color="auto" w:fill="auto"/>
            <w:noWrap/>
            <w:vAlign w:val="center"/>
          </w:tcPr>
          <w:p>
            <w:pPr>
              <w:widowControl w:val="0"/>
              <w:rPr>
                <w:rFonts w:hint="eastAsia" w:ascii="方正仿宋简体" w:eastAsia="方正仿宋简体"/>
                <w:kern w:val="2"/>
                <w:sz w:val="32"/>
                <w:szCs w:val="32"/>
              </w:rPr>
            </w:pPr>
            <w:r>
              <w:rPr>
                <w:rFonts w:hint="eastAsia" w:ascii="方正仿宋简体" w:eastAsia="方正仿宋简体"/>
                <w:kern w:val="2"/>
                <w:sz w:val="32"/>
                <w:szCs w:val="32"/>
              </w:rPr>
              <w:t>-40x5热镀锌扁钢防雷引下线安装</w:t>
            </w:r>
          </w:p>
        </w:tc>
        <w:tc>
          <w:tcPr>
            <w:tcW w:w="1276" w:type="dxa"/>
            <w:tcBorders>
              <w:top w:val="nil"/>
              <w:left w:val="nil"/>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rPr>
            </w:pPr>
            <w:r>
              <w:rPr>
                <w:rFonts w:hint="eastAsia" w:ascii="方正仿宋简体" w:eastAsia="方正仿宋简体"/>
                <w:kern w:val="2"/>
                <w:sz w:val="32"/>
                <w:szCs w:val="32"/>
              </w:rPr>
              <w:t>300米</w:t>
            </w:r>
          </w:p>
        </w:tc>
        <w:tc>
          <w:tcPr>
            <w:tcW w:w="1701" w:type="dxa"/>
            <w:tcBorders>
              <w:top w:val="nil"/>
              <w:left w:val="nil"/>
              <w:bottom w:val="single" w:color="auto" w:sz="4" w:space="0"/>
              <w:right w:val="single" w:color="auto" w:sz="4" w:space="0"/>
            </w:tcBorders>
            <w:shd w:val="clear" w:color="auto" w:fill="auto"/>
            <w:vAlign w:val="center"/>
          </w:tcPr>
          <w:p>
            <w:pPr>
              <w:jc w:val="left"/>
              <w:rPr>
                <w:rFonts w:hint="eastAsia" w:ascii="方正仿宋简体" w:hAnsi="宋体" w:eastAsia="方正仿宋简体" w:cs="宋体"/>
                <w:kern w:val="2"/>
                <w:sz w:val="32"/>
                <w:szCs w:val="32"/>
                <w:highlight w:val="yellow"/>
              </w:rPr>
            </w:pPr>
            <w:r>
              <w:rPr>
                <w:rFonts w:hint="eastAsia" w:ascii="方正仿宋简体" w:hAnsi="宋体" w:eastAsia="方正仿宋简体" w:cs="宋体"/>
                <w:kern w:val="2"/>
                <w:sz w:val="32"/>
                <w:szCs w:val="32"/>
              </w:rPr>
              <w:t>中标方供</w:t>
            </w:r>
          </w:p>
        </w:tc>
      </w:tr>
      <w:tr>
        <w:tblPrEx>
          <w:tblCellMar>
            <w:top w:w="0" w:type="dxa"/>
            <w:left w:w="108" w:type="dxa"/>
            <w:bottom w:w="0" w:type="dxa"/>
            <w:right w:w="108" w:type="dxa"/>
          </w:tblCellMar>
        </w:tblPrEx>
        <w:trPr>
          <w:trHeight w:val="530" w:hRule="atLeast"/>
        </w:trPr>
        <w:tc>
          <w:tcPr>
            <w:tcW w:w="99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3</w:t>
            </w:r>
          </w:p>
        </w:tc>
        <w:tc>
          <w:tcPr>
            <w:tcW w:w="4957" w:type="dxa"/>
            <w:tcBorders>
              <w:top w:val="nil"/>
              <w:left w:val="nil"/>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rPr>
            </w:pPr>
            <w:r>
              <w:rPr>
                <w:rFonts w:hint="eastAsia" w:ascii="方正仿宋简体" w:eastAsia="方正仿宋简体"/>
                <w:kern w:val="2"/>
                <w:sz w:val="32"/>
                <w:szCs w:val="32"/>
              </w:rPr>
              <w:t>DN50改性绝缘塑料管引下线保护</w:t>
            </w:r>
          </w:p>
        </w:tc>
        <w:tc>
          <w:tcPr>
            <w:tcW w:w="1276" w:type="dxa"/>
            <w:tcBorders>
              <w:top w:val="nil"/>
              <w:left w:val="nil"/>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50米</w:t>
            </w:r>
          </w:p>
        </w:tc>
        <w:tc>
          <w:tcPr>
            <w:tcW w:w="1701" w:type="dxa"/>
            <w:tcBorders>
              <w:top w:val="nil"/>
              <w:left w:val="nil"/>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highlight w:val="yellow"/>
              </w:rPr>
            </w:pPr>
            <w:r>
              <w:rPr>
                <w:rFonts w:hint="eastAsia" w:ascii="方正仿宋简体" w:hAnsi="宋体" w:eastAsia="方正仿宋简体" w:cs="宋体"/>
                <w:kern w:val="2"/>
                <w:sz w:val="32"/>
                <w:szCs w:val="32"/>
              </w:rPr>
              <w:t>中标方供</w:t>
            </w:r>
          </w:p>
        </w:tc>
      </w:tr>
      <w:tr>
        <w:tblPrEx>
          <w:tblCellMar>
            <w:top w:w="0" w:type="dxa"/>
            <w:left w:w="108" w:type="dxa"/>
            <w:bottom w:w="0" w:type="dxa"/>
            <w:right w:w="108" w:type="dxa"/>
          </w:tblCellMar>
        </w:tblPrEx>
        <w:trPr>
          <w:trHeight w:val="713" w:hRule="atLeast"/>
        </w:trPr>
        <w:tc>
          <w:tcPr>
            <w:tcW w:w="99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4</w:t>
            </w:r>
          </w:p>
        </w:tc>
        <w:tc>
          <w:tcPr>
            <w:tcW w:w="4957" w:type="dxa"/>
            <w:tcBorders>
              <w:top w:val="nil"/>
              <w:left w:val="nil"/>
              <w:bottom w:val="single" w:color="auto" w:sz="4" w:space="0"/>
              <w:right w:val="single" w:color="auto" w:sz="4" w:space="0"/>
            </w:tcBorders>
            <w:shd w:val="clear" w:color="auto" w:fill="auto"/>
            <w:noWrap/>
            <w:vAlign w:val="center"/>
          </w:tcPr>
          <w:p>
            <w:pPr>
              <w:widowControl w:val="0"/>
              <w:rPr>
                <w:rFonts w:hint="eastAsia" w:ascii="方正仿宋简体" w:eastAsia="方正仿宋简体"/>
                <w:kern w:val="2"/>
                <w:sz w:val="32"/>
                <w:szCs w:val="32"/>
              </w:rPr>
            </w:pPr>
            <w:r>
              <w:rPr>
                <w:rFonts w:hint="eastAsia" w:ascii="方正仿宋简体" w:eastAsia="方正仿宋简体"/>
                <w:kern w:val="2"/>
                <w:sz w:val="32"/>
                <w:szCs w:val="32"/>
              </w:rPr>
              <w:t xml:space="preserve">人工接地极L50x50x5 L=2500mm </w:t>
            </w:r>
          </w:p>
        </w:tc>
        <w:tc>
          <w:tcPr>
            <w:tcW w:w="1276" w:type="dxa"/>
            <w:tcBorders>
              <w:top w:val="nil"/>
              <w:left w:val="nil"/>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25根</w:t>
            </w:r>
          </w:p>
        </w:tc>
        <w:tc>
          <w:tcPr>
            <w:tcW w:w="1701" w:type="dxa"/>
            <w:tcBorders>
              <w:top w:val="nil"/>
              <w:left w:val="nil"/>
              <w:bottom w:val="single" w:color="auto" w:sz="4" w:space="0"/>
              <w:right w:val="single" w:color="auto" w:sz="4" w:space="0"/>
            </w:tcBorders>
            <w:shd w:val="clear" w:color="auto" w:fill="auto"/>
            <w:vAlign w:val="center"/>
          </w:tcPr>
          <w:p>
            <w:pPr>
              <w:jc w:val="left"/>
              <w:rPr>
                <w:rFonts w:hint="eastAsia" w:ascii="方正仿宋简体" w:hAnsi="宋体" w:eastAsia="方正仿宋简体" w:cs="宋体"/>
                <w:kern w:val="2"/>
                <w:sz w:val="32"/>
                <w:szCs w:val="32"/>
                <w:highlight w:val="yellow"/>
              </w:rPr>
            </w:pPr>
            <w:r>
              <w:rPr>
                <w:rFonts w:hint="eastAsia" w:ascii="方正仿宋简体" w:hAnsi="宋体" w:eastAsia="方正仿宋简体" w:cs="宋体"/>
                <w:kern w:val="2"/>
                <w:sz w:val="32"/>
                <w:szCs w:val="32"/>
              </w:rPr>
              <w:t>中标方供</w:t>
            </w:r>
          </w:p>
        </w:tc>
      </w:tr>
      <w:tr>
        <w:tblPrEx>
          <w:tblCellMar>
            <w:top w:w="0" w:type="dxa"/>
            <w:left w:w="108" w:type="dxa"/>
            <w:bottom w:w="0" w:type="dxa"/>
            <w:right w:w="108" w:type="dxa"/>
          </w:tblCellMar>
        </w:tblPrEx>
        <w:trPr>
          <w:trHeight w:val="530" w:hRule="atLeast"/>
        </w:trPr>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5</w:t>
            </w:r>
          </w:p>
        </w:tc>
        <w:tc>
          <w:tcPr>
            <w:tcW w:w="4957" w:type="dxa"/>
            <w:tcBorders>
              <w:top w:val="single" w:color="auto" w:sz="4" w:space="0"/>
              <w:left w:val="nil"/>
              <w:bottom w:val="single" w:color="auto" w:sz="4" w:space="0"/>
              <w:right w:val="single" w:color="auto" w:sz="4" w:space="0"/>
            </w:tcBorders>
            <w:shd w:val="clear" w:color="auto" w:fill="auto"/>
            <w:noWrap/>
            <w:vAlign w:val="center"/>
          </w:tcPr>
          <w:p>
            <w:pPr>
              <w:widowControl w:val="0"/>
              <w:rPr>
                <w:rFonts w:hint="eastAsia" w:ascii="方正仿宋简体" w:eastAsia="方正仿宋简体"/>
                <w:kern w:val="2"/>
                <w:sz w:val="32"/>
                <w:szCs w:val="32"/>
              </w:rPr>
            </w:pPr>
            <w:r>
              <w:rPr>
                <w:rFonts w:hint="eastAsia" w:ascii="方正仿宋简体" w:eastAsia="方正仿宋简体"/>
                <w:kern w:val="2"/>
                <w:sz w:val="32"/>
                <w:szCs w:val="32"/>
              </w:rPr>
              <w:t>测试断接卡安装</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25处</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方正仿宋简体" w:hAnsi="宋体" w:eastAsia="方正仿宋简体" w:cs="宋体"/>
                <w:kern w:val="2"/>
                <w:sz w:val="32"/>
                <w:szCs w:val="32"/>
                <w:highlight w:val="yellow"/>
              </w:rPr>
            </w:pPr>
            <w:r>
              <w:rPr>
                <w:rFonts w:hint="eastAsia" w:ascii="方正仿宋简体" w:hAnsi="宋体" w:eastAsia="方正仿宋简体" w:cs="宋体"/>
                <w:kern w:val="2"/>
                <w:sz w:val="32"/>
                <w:szCs w:val="32"/>
              </w:rPr>
              <w:t>中标方供</w:t>
            </w:r>
          </w:p>
        </w:tc>
      </w:tr>
      <w:tr>
        <w:tblPrEx>
          <w:tblCellMar>
            <w:top w:w="0" w:type="dxa"/>
            <w:left w:w="108" w:type="dxa"/>
            <w:bottom w:w="0" w:type="dxa"/>
            <w:right w:w="108" w:type="dxa"/>
          </w:tblCellMar>
        </w:tblPrEx>
        <w:trPr>
          <w:trHeight w:val="530" w:hRule="atLeast"/>
        </w:trPr>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6</w:t>
            </w:r>
          </w:p>
        </w:tc>
        <w:tc>
          <w:tcPr>
            <w:tcW w:w="4957" w:type="dxa"/>
            <w:tcBorders>
              <w:top w:val="single" w:color="auto" w:sz="4" w:space="0"/>
              <w:left w:val="nil"/>
              <w:bottom w:val="single" w:color="auto" w:sz="4" w:space="0"/>
              <w:right w:val="single" w:color="auto" w:sz="4" w:space="0"/>
            </w:tcBorders>
            <w:shd w:val="clear" w:color="auto" w:fill="auto"/>
            <w:noWrap/>
            <w:vAlign w:val="center"/>
          </w:tcPr>
          <w:p>
            <w:pPr>
              <w:widowControl w:val="0"/>
              <w:rPr>
                <w:rFonts w:hint="eastAsia" w:ascii="方正仿宋简体" w:eastAsia="方正仿宋简体"/>
                <w:kern w:val="2"/>
                <w:sz w:val="32"/>
                <w:szCs w:val="32"/>
              </w:rPr>
            </w:pPr>
            <w:r>
              <w:rPr>
                <w:rFonts w:hint="eastAsia" w:ascii="方正仿宋简体" w:eastAsia="方正仿宋简体"/>
                <w:kern w:val="2"/>
                <w:sz w:val="32"/>
                <w:szCs w:val="32"/>
              </w:rPr>
              <w:t>混凝土支座墩</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rPr>
            </w:pPr>
            <w:r>
              <w:rPr>
                <w:rFonts w:hint="eastAsia" w:ascii="方正仿宋简体" w:hAnsi="宋体" w:eastAsia="方正仿宋简体" w:cs="宋体"/>
                <w:kern w:val="2"/>
                <w:sz w:val="32"/>
                <w:szCs w:val="32"/>
              </w:rPr>
              <w:t>142座</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方正仿宋简体" w:hAnsi="宋体" w:eastAsia="方正仿宋简体" w:cs="宋体"/>
                <w:kern w:val="2"/>
                <w:sz w:val="32"/>
                <w:szCs w:val="32"/>
                <w:highlight w:val="yellow"/>
              </w:rPr>
            </w:pPr>
            <w:r>
              <w:rPr>
                <w:rFonts w:hint="eastAsia" w:ascii="方正仿宋简体" w:hAnsi="宋体" w:eastAsia="方正仿宋简体" w:cs="宋体"/>
                <w:kern w:val="2"/>
                <w:sz w:val="32"/>
                <w:szCs w:val="32"/>
              </w:rPr>
              <w:t>中标方供</w:t>
            </w:r>
          </w:p>
        </w:tc>
      </w:tr>
      <w:tr>
        <w:tblPrEx>
          <w:tblCellMar>
            <w:top w:w="0" w:type="dxa"/>
            <w:left w:w="108" w:type="dxa"/>
            <w:bottom w:w="0" w:type="dxa"/>
            <w:right w:w="108" w:type="dxa"/>
          </w:tblCellMar>
        </w:tblPrEx>
        <w:trPr>
          <w:trHeight w:val="530" w:hRule="atLeast"/>
        </w:trPr>
        <w:tc>
          <w:tcPr>
            <w:tcW w:w="89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方正仿宋简体" w:hAnsi="宋体" w:eastAsia="方正仿宋简体" w:cs="宋体"/>
                <w:kern w:val="2"/>
                <w:sz w:val="32"/>
                <w:szCs w:val="32"/>
              </w:rPr>
            </w:pPr>
            <w:r>
              <w:rPr>
                <w:rFonts w:hint="eastAsia" w:ascii="方正仿宋简体" w:eastAsia="方正仿宋简体"/>
                <w:color w:val="FF0000"/>
                <w:kern w:val="2"/>
                <w:sz w:val="32"/>
                <w:szCs w:val="32"/>
              </w:rPr>
              <w:t>注：脚手架和登高施工机械由中标方负责</w:t>
            </w:r>
          </w:p>
        </w:tc>
      </w:tr>
    </w:tbl>
    <w:p>
      <w:pPr>
        <w:spacing w:after="160" w:line="360" w:lineRule="auto"/>
        <w:jc w:val="left"/>
        <w:rPr>
          <w:rFonts w:hint="eastAsia" w:ascii="方正仿宋简体" w:hAnsi="仿宋_GB2312" w:eastAsia="方正仿宋简体"/>
          <w:sz w:val="32"/>
          <w:szCs w:val="32"/>
        </w:rPr>
      </w:pP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2.质量要求及技术标准：</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（1）采用</w:t>
      </w:r>
      <w:r>
        <w:rPr>
          <w:rFonts w:ascii="MS Mincho" w:hAnsi="MS Mincho" w:eastAsia="方正仿宋简体" w:cs="MS Mincho"/>
          <w:sz w:val="32"/>
          <w:szCs w:val="32"/>
        </w:rPr>
        <w:t>∅</w:t>
      </w:r>
      <w:r>
        <w:rPr>
          <w:rFonts w:hint="eastAsia" w:ascii="方正仿宋简体" w:hAnsi="仿宋_GB2312" w:eastAsia="方正仿宋简体"/>
          <w:sz w:val="32"/>
          <w:szCs w:val="32"/>
        </w:rPr>
        <w:t>10热镀锌圆钢作为避雷带，沿女儿墙或檐口、屋面明敷，所有高出屋面的金属物体与其可靠连结，女儿墙、檐口上支架高150，不大于500，转角处不大于300；屋面上利用支座墩或支架支撑，具体做法详见国标图集15D501,P31-35:固定支架基座安装做法。避雷带网格不大于12mx8m或10mx10m。屋面有落差的须利用</w:t>
      </w:r>
      <w:r>
        <w:rPr>
          <w:rFonts w:ascii="MS Mincho" w:hAnsi="MS Mincho" w:eastAsia="方正仿宋简体" w:cs="MS Mincho"/>
          <w:sz w:val="32"/>
          <w:szCs w:val="32"/>
        </w:rPr>
        <w:t>∅</w:t>
      </w:r>
      <w:r>
        <w:rPr>
          <w:rFonts w:hint="eastAsia" w:ascii="方正仿宋简体" w:hAnsi="仿宋_GB2312" w:eastAsia="方正仿宋简体"/>
          <w:sz w:val="32"/>
          <w:szCs w:val="32"/>
        </w:rPr>
        <w:t>10的热镀锌圆钢沿墙面做支架敷设，上下可靠焊接。</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2）防雷屋顶图中带下箭头处利用-40x5的热镀锌扁钢，沿墙面明敷作为防雷引下线，上与避雷带下与人工接地装置可靠连接,引下线平均间距不大于18米，全图共25处，引下线沿墙面敷设时需可靠固定，固定间距不应大于500mm,且引下线须避开门窗，距出人口或人行道边沿不宜小于3m。</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3）距地1.8米处装设断接卡，供接地测试用，利用DN50的改性绝缘塑料管对地面上1.7m至地面下0.3米的一段接地引下线加以保护。施工完毕后，需实测引下线3m范围内地表层电阻率不小于50kΩm，或敷设5cm厚沥青层或15cm厚砾石层。</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（4）凡突出屋面的所有金属构件、金属通风管等均须与避雷带可靠焊接,连接不少于两处。竖直敷设的金属管道及金属物的顶端和底端均需与防雷装置连接。</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5）在室外草坪中打入人工垂直接地极，每一根引下线对应一根人工接地极，接地极采用长2.5米，L50x50x5的热镀锌角钢，接地极顶部埋深不低于-0.8米，距墙和设备基础不宜小于1m。防雷引下线及人工接地网上下焊接,保持可靠的电气连通。</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（6）外露焊接处均应刷沥青防腐,</w:t>
      </w:r>
      <w:r>
        <w:rPr>
          <w:rFonts w:hint="eastAsia" w:ascii="方正仿宋简体" w:eastAsia="方正仿宋简体"/>
          <w:kern w:val="2"/>
          <w:sz w:val="32"/>
          <w:szCs w:val="32"/>
        </w:rPr>
        <w:t xml:space="preserve"> 施工过程中屋面或墙体防水破坏处需重新防水处理</w:t>
      </w:r>
      <w:r>
        <w:rPr>
          <w:rFonts w:hint="eastAsia" w:ascii="方正仿宋简体" w:hAnsi="仿宋_GB2312" w:eastAsia="方正仿宋简体"/>
          <w:sz w:val="32"/>
          <w:szCs w:val="32"/>
        </w:rPr>
        <w:t>。</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（7）主筋焊接长度≥6d(二面满焊);扁钢焊接长度≥2w(三面满焊); 扁钢与圆钢焊接长度≥100mm(二面满焊),圆钢与圆钢垂直交点焊接方法为外加长度为2X6d等截面钢筋(二面满焊).基础接地中柱与承台，桩的连接作法详见图集《建筑物防雷设施安装》15D501,P10-31。</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（8） 等电位、防雷接地做法见图集《接地装置安装》14D504、《等电位联结安装》15D502.</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（9）工程防雷接地，专设接地引下线接地电阻不大于10Ω，否则增补接地极，直至达到要求。</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（10）所有正常情况下不带电的电气设备金属外壳均应可靠接地.</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（11）本项目所选材料必须具有国家级检测中心的检测合格证书（3C认证）。</w:t>
      </w:r>
    </w:p>
    <w:p>
      <w:pPr>
        <w:spacing w:after="160" w:line="360" w:lineRule="auto"/>
        <w:ind w:firstLine="480"/>
        <w:jc w:val="left"/>
        <w:rPr>
          <w:rFonts w:hint="eastAsia" w:ascii="方正仿宋简体" w:hAnsi="仿宋_GB2312" w:eastAsia="方正仿宋简体"/>
          <w:sz w:val="32"/>
          <w:szCs w:val="32"/>
        </w:rPr>
      </w:pPr>
      <w:r>
        <w:rPr>
          <w:rFonts w:hint="eastAsia" w:ascii="方正仿宋简体" w:hAnsi="仿宋_GB2312" w:eastAsia="方正仿宋简体"/>
          <w:sz w:val="32"/>
          <w:szCs w:val="32"/>
        </w:rPr>
        <w:t>（12）本项目应满足GB50057-2010 建筑物防雷设计规范和GBT_21431-2015建筑物防雷检测技术规范，施工完成后进行三方共检，并通过具有防雷接地检测资质的第三方检测（招标方负责安排）。</w:t>
      </w:r>
    </w:p>
    <w:p>
      <w:pPr>
        <w:widowControl w:val="0"/>
        <w:tabs>
          <w:tab w:val="left" w:pos="180"/>
        </w:tabs>
        <w:wordWrap w:val="0"/>
        <w:spacing w:line="360" w:lineRule="auto"/>
        <w:ind w:firstLine="640" w:firstLineChars="200"/>
        <w:jc w:val="left"/>
        <w:rPr>
          <w:rFonts w:hint="eastAsia" w:ascii="方正黑体_GBK" w:hAnsi="仿宋_GB2312" w:eastAsia="方正黑体_GBK" w:cs="仿宋_GB2312"/>
          <w:kern w:val="1"/>
          <w:sz w:val="32"/>
          <w:szCs w:val="32"/>
        </w:rPr>
      </w:pPr>
      <w:r>
        <w:rPr>
          <w:rFonts w:hint="eastAsia" w:ascii="方正黑体_GBK" w:hAnsi="仿宋_GB2312" w:eastAsia="方正黑体_GBK" w:cs="仿宋_GB2312"/>
          <w:kern w:val="1"/>
          <w:sz w:val="32"/>
          <w:szCs w:val="32"/>
        </w:rPr>
        <w:t>五、现场踏勘</w:t>
      </w:r>
    </w:p>
    <w:p>
      <w:pPr>
        <w:widowControl w:val="0"/>
        <w:spacing w:line="360" w:lineRule="auto"/>
        <w:ind w:firstLine="640" w:firstLineChars="200"/>
        <w:jc w:val="left"/>
        <w:rPr>
          <w:rFonts w:hint="eastAsia" w:ascii="方正仿宋简体" w:hAnsi="仿宋_GB2312" w:eastAsia="方正仿宋简体" w:cs="仿宋_GB2312"/>
          <w:kern w:val="2"/>
          <w:sz w:val="32"/>
          <w:szCs w:val="32"/>
        </w:rPr>
      </w:pPr>
      <w:r>
        <w:rPr>
          <w:rFonts w:hint="eastAsia" w:ascii="方正仿宋简体" w:hAnsi="仿宋_GB2312" w:eastAsia="方正仿宋简体" w:cs="仿宋_GB2312"/>
          <w:kern w:val="2"/>
          <w:sz w:val="32"/>
          <w:szCs w:val="32"/>
        </w:rPr>
        <w:t>1．招标人会组织报名投标的投标人在规定的时间、地点踏勘项目现场</w:t>
      </w:r>
      <w:r>
        <w:rPr>
          <w:rFonts w:hint="eastAsia" w:ascii="方正仿宋简体" w:hAnsi="仿宋_GB2312" w:eastAsia="方正仿宋简体" w:cs="仿宋_GB2312"/>
          <w:color w:val="FF0000"/>
          <w:kern w:val="2"/>
          <w:sz w:val="32"/>
          <w:szCs w:val="32"/>
        </w:rPr>
        <w:t>（2023年3月21日上午10点海纳川办公楼）</w:t>
      </w:r>
      <w:r>
        <w:rPr>
          <w:rFonts w:hint="eastAsia" w:ascii="方正仿宋简体" w:hAnsi="仿宋_GB2312" w:eastAsia="方正仿宋简体" w:cs="仿宋_GB2312"/>
          <w:kern w:val="2"/>
          <w:sz w:val="32"/>
          <w:szCs w:val="32"/>
        </w:rPr>
        <w:t>。</w:t>
      </w:r>
    </w:p>
    <w:p>
      <w:pPr>
        <w:widowControl w:val="0"/>
        <w:spacing w:line="360" w:lineRule="auto"/>
        <w:ind w:firstLine="640" w:firstLineChars="200"/>
        <w:jc w:val="left"/>
        <w:rPr>
          <w:rFonts w:hint="eastAsia" w:ascii="方正仿宋简体" w:hAnsi="仿宋_GB2312" w:eastAsia="方正仿宋简体" w:cs="仿宋_GB2312"/>
          <w:kern w:val="2"/>
          <w:sz w:val="32"/>
          <w:szCs w:val="32"/>
        </w:rPr>
      </w:pPr>
      <w:r>
        <w:rPr>
          <w:rFonts w:hint="eastAsia" w:ascii="方正仿宋简体" w:hAnsi="仿宋_GB2312" w:eastAsia="方正仿宋简体" w:cs="仿宋_GB2312"/>
          <w:kern w:val="2"/>
          <w:sz w:val="32"/>
          <w:szCs w:val="32"/>
        </w:rPr>
        <w:t>2．招标人在踏勘现场中介绍的工程场地和相关的周边环境情况，供投标人在编制投标文件时参考，招标人不对投标人据此作出的判断和决策负责。</w:t>
      </w:r>
    </w:p>
    <w:p>
      <w:pPr>
        <w:widowControl w:val="0"/>
        <w:spacing w:line="360" w:lineRule="auto"/>
        <w:ind w:firstLine="640" w:firstLineChars="200"/>
        <w:jc w:val="left"/>
        <w:rPr>
          <w:rFonts w:hint="eastAsia" w:ascii="方正仿宋简体" w:hAnsi="仿宋_GB2312" w:eastAsia="方正仿宋简体" w:cs="仿宋_GB2312"/>
          <w:kern w:val="2"/>
          <w:sz w:val="32"/>
          <w:szCs w:val="32"/>
        </w:rPr>
      </w:pPr>
      <w:r>
        <w:rPr>
          <w:rFonts w:hint="eastAsia" w:ascii="方正仿宋简体" w:hAnsi="仿宋_GB2312" w:eastAsia="方正仿宋简体" w:cs="仿宋_GB2312"/>
          <w:kern w:val="2"/>
          <w:sz w:val="32"/>
          <w:szCs w:val="32"/>
        </w:rPr>
        <w:t>3．不参加现场踏勘的投标人，其投标文件将不被接受。</w:t>
      </w:r>
    </w:p>
    <w:p>
      <w:pPr>
        <w:spacing w:after="160" w:line="360" w:lineRule="auto"/>
        <w:ind w:firstLine="640" w:firstLineChars="200"/>
        <w:jc w:val="left"/>
        <w:rPr>
          <w:rFonts w:hint="eastAsia" w:ascii="方正仿宋简体" w:hAnsi="仿宋_GB2312" w:eastAsia="方正仿宋简体"/>
          <w:sz w:val="32"/>
          <w:szCs w:val="32"/>
        </w:rPr>
      </w:pPr>
      <w:r>
        <w:rPr>
          <w:rFonts w:hint="eastAsia" w:ascii="方正仿宋简体" w:hAnsi="仿宋_GB2312" w:eastAsia="方正仿宋简体" w:cs="仿宋_GB2312"/>
          <w:kern w:val="2"/>
          <w:sz w:val="32"/>
          <w:szCs w:val="32"/>
        </w:rPr>
        <w:t>4．现场踏勘后对投标人所提问题的澄清（如果有），招标人应在投标截止时间前3天以书面形式通知所有报名的投标人。该澄清内容为招标文件的组成部分。</w:t>
      </w:r>
    </w:p>
    <w:p>
      <w:pPr>
        <w:widowControl w:val="0"/>
        <w:tabs>
          <w:tab w:val="left" w:pos="180"/>
        </w:tabs>
        <w:wordWrap w:val="0"/>
        <w:spacing w:line="360" w:lineRule="auto"/>
        <w:ind w:firstLine="640" w:firstLineChars="200"/>
        <w:jc w:val="left"/>
        <w:rPr>
          <w:rFonts w:hint="eastAsia" w:ascii="方正黑体_GBK" w:hAnsi="仿宋_GB2312" w:eastAsia="方正黑体_GBK" w:cs="仿宋_GB2312"/>
          <w:kern w:val="1"/>
          <w:sz w:val="32"/>
          <w:szCs w:val="32"/>
        </w:rPr>
      </w:pPr>
      <w:r>
        <w:rPr>
          <w:rFonts w:hint="eastAsia" w:ascii="方正黑体_GBK" w:hAnsi="仿宋_GB2312" w:eastAsia="方正黑体_GBK" w:cs="仿宋_GB2312"/>
          <w:kern w:val="1"/>
          <w:sz w:val="32"/>
          <w:szCs w:val="32"/>
        </w:rPr>
        <w:t>六、开标、评标及流标</w:t>
      </w:r>
    </w:p>
    <w:p>
      <w:pPr>
        <w:wordWrap w:val="0"/>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1.开标</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由招标方评标小组在确定的开标时间对报价书启封，评标小组首先对投标文件完整性检查和投标人资格符合性进行审查。</w:t>
      </w:r>
    </w:p>
    <w:p>
      <w:pPr>
        <w:widowControl w:val="0"/>
        <w:spacing w:line="360" w:lineRule="auto"/>
        <w:ind w:left="64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2.评标</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2.1综合</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采取综合评审方法进行打分，具体按价格得分、技术得分、商务得分（得分比例根据货物内容确定）三个方面进行评审，并按综合得分由高到低顺序推选中标候选人。</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2.2通用（</w:t>
      </w:r>
      <w:r>
        <w:rPr>
          <w:rFonts w:hint="eastAsia" w:ascii="方正仿宋简体" w:hAnsi="仿宋_GB2312" w:eastAsia="方正仿宋简体" w:cs="仿宋_GB2312"/>
          <w:b/>
          <w:bCs/>
          <w:color w:val="FF0000"/>
          <w:sz w:val="32"/>
          <w:szCs w:val="32"/>
        </w:rPr>
        <w:t>本次采用该种评标方式</w:t>
      </w:r>
      <w:r>
        <w:rPr>
          <w:rFonts w:hint="eastAsia" w:ascii="方正仿宋简体" w:hAnsi="仿宋_GB2312" w:eastAsia="方正仿宋简体" w:cs="仿宋_GB2312"/>
          <w:sz w:val="32"/>
          <w:szCs w:val="32"/>
        </w:rPr>
        <w:t>）</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2.2.1质量合格前提下，合计总价最低为中标候选人。</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2.2.2同等价格下，质量指标、售后服务更好的为中标候选人。</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2.2.3同等价格、同等质量下，现有供应方为中标候选人。</w:t>
      </w:r>
    </w:p>
    <w:p>
      <w:pPr>
        <w:spacing w:line="360" w:lineRule="auto"/>
        <w:ind w:firstLine="640" w:firstLineChars="200"/>
        <w:jc w:val="left"/>
        <w:rPr>
          <w:rFonts w:hint="eastAsia" w:ascii="方正仿宋简体" w:eastAsia="方正仿宋简体"/>
          <w:sz w:val="32"/>
          <w:szCs w:val="32"/>
        </w:rPr>
      </w:pPr>
      <w:r>
        <w:rPr>
          <w:rFonts w:hint="eastAsia" w:ascii="方正仿宋简体" w:hAnsi="仿宋_GB2312" w:eastAsia="方正仿宋简体" w:cs="仿宋_GB2312"/>
          <w:sz w:val="32"/>
          <w:szCs w:val="32"/>
        </w:rPr>
        <w:t>3．中标候选人的确定标准</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在最大限度地满足招标文件实质性要求前提下，按照招标文件中规定的各项因素进行评审，按排名由高到低顺序确定中标候选人。中标候选人数量见报价须知。</w:t>
      </w:r>
    </w:p>
    <w:p>
      <w:pPr>
        <w:pStyle w:val="27"/>
        <w:spacing w:line="360" w:lineRule="auto"/>
        <w:ind w:left="0" w:firstLine="640" w:firstLineChars="200"/>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4．中标通知书</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5．流标</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5.1招标方发现有串标、陪标等扰乱我方经营秩序的恶劣情况，本次招标流标，且不得再参与我公司今后的招标。</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5.2投标单位不足3家的，本次招标按流标处理。</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6．废标</w:t>
      </w:r>
    </w:p>
    <w:p>
      <w:pPr>
        <w:spacing w:line="360" w:lineRule="auto"/>
        <w:ind w:firstLine="640" w:firstLineChars="200"/>
        <w:jc w:val="left"/>
        <w:rPr>
          <w:rFonts w:hint="eastAsia" w:ascii="方正仿宋简体" w:eastAsia="方正仿宋简体"/>
          <w:sz w:val="32"/>
          <w:szCs w:val="32"/>
        </w:rPr>
      </w:pPr>
      <w:r>
        <w:rPr>
          <w:rFonts w:hint="eastAsia" w:ascii="方正仿宋简体" w:hAnsi="仿宋_GB2312" w:eastAsia="方正仿宋简体" w:cs="仿宋_GB2312"/>
          <w:sz w:val="32"/>
          <w:szCs w:val="32"/>
        </w:rPr>
        <w:t>6.1凡投标方不具备生产经营资质的，或招标文件填写不完整、报价有空项的，或不符合招标方技术要求的，经我司评标小组评定，作废标处理。</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6.2有效投标单位不足3家的，本次招标项目按废标处理。</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640" w:firstLineChars="200"/>
        <w:jc w:val="left"/>
        <w:rPr>
          <w:rFonts w:hint="eastAsia" w:ascii="方正仿宋简体" w:eastAsia="方正仿宋简体"/>
          <w:sz w:val="32"/>
          <w:szCs w:val="32"/>
        </w:rPr>
      </w:pPr>
      <w:r>
        <w:rPr>
          <w:rFonts w:hint="eastAsia" w:ascii="方正仿宋简体" w:hAnsi="仿宋_GB2312" w:eastAsia="方正仿宋简体" w:cs="仿宋_GB2312"/>
          <w:sz w:val="32"/>
          <w:szCs w:val="32"/>
        </w:rPr>
        <w:t>6.4中标结果公布后，中标供应商放弃中标资格的，本次招标项目按废标处理。</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7．其他注意事项</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7.1投标方应保证产品各项指标符合国标，无国标强制要求的应符合我方使用要求，否则应及时调换或退货处理。</w:t>
      </w:r>
    </w:p>
    <w:p>
      <w:pPr>
        <w:pStyle w:val="12"/>
        <w:spacing w:line="360" w:lineRule="auto"/>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color w:val="auto"/>
          <w:kern w:val="2"/>
          <w:sz w:val="32"/>
          <w:szCs w:val="32"/>
        </w:rPr>
        <w:t>7.2如因中标方原因，对我司生产造成影响的，投标保证金将不予退还。如影响严重的，我司将依法追究投标方相关责任。</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kern w:val="2"/>
          <w:sz w:val="32"/>
          <w:szCs w:val="32"/>
        </w:rPr>
        <w:t>7.3中标供应商有下列情形之一的，我司有权依法追究投标方相关责任并拒绝投标方参与我司</w:t>
      </w:r>
      <w:r>
        <w:rPr>
          <w:rFonts w:hint="eastAsia" w:ascii="方正仿宋简体" w:hAnsi="仿宋_GB2312" w:eastAsia="方正仿宋简体" w:cs="仿宋_GB2312"/>
          <w:sz w:val="32"/>
          <w:szCs w:val="32"/>
        </w:rPr>
        <w:t>招标工作且</w:t>
      </w:r>
      <w:r>
        <w:rPr>
          <w:rFonts w:hint="eastAsia" w:ascii="方正仿宋简体" w:hAnsi="仿宋_GB2312" w:eastAsia="方正仿宋简体" w:cs="仿宋_GB2312"/>
          <w:kern w:val="2"/>
          <w:sz w:val="32"/>
          <w:szCs w:val="32"/>
        </w:rPr>
        <w:t>投标保证金将不予退还。</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7.3.1经查实提供虚假信息，有欺诈行为的；</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7.3.2存在串通投标等不正当竞争行为的；</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7.3.3经查实有商业贿赂行为的；</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7.3.4中标后无正当理由不与采购人签订合同的；</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7.3.5将中标项目转让给他人或者在投标文件中未说明，将中标项目分包给他人的；</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7.3.6提供不合格工程、物资或服务的；</w:t>
      </w:r>
    </w:p>
    <w:p>
      <w:pPr>
        <w:spacing w:line="360" w:lineRule="auto"/>
        <w:ind w:firstLine="640" w:firstLineChars="200"/>
        <w:jc w:val="left"/>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7.3.7拒绝履行合同义务的。</w:t>
      </w:r>
    </w:p>
    <w:p>
      <w:pPr>
        <w:spacing w:after="160"/>
        <w:rPr>
          <w:rFonts w:hint="eastAsia" w:ascii="方正仿宋简体" w:hAnsi="仿宋_GB2312" w:eastAsia="方正仿宋简体"/>
          <w:color w:val="000000"/>
          <w:sz w:val="32"/>
          <w:szCs w:val="32"/>
        </w:rPr>
        <w:sectPr>
          <w:headerReference r:id="rId3" w:type="default"/>
          <w:footerReference r:id="rId4" w:type="default"/>
          <w:pgSz w:w="11906" w:h="16838"/>
          <w:pgMar w:top="1701" w:right="1531" w:bottom="1701" w:left="1701" w:header="851" w:footer="992" w:gutter="0"/>
          <w:cols w:space="720" w:num="1"/>
          <w:docGrid w:type="lines" w:linePitch="312" w:charSpace="0"/>
        </w:sectPr>
      </w:pPr>
    </w:p>
    <w:p>
      <w:pPr>
        <w:pStyle w:val="2"/>
        <w:spacing w:line="500" w:lineRule="exact"/>
        <w:jc w:val="left"/>
        <w:rPr>
          <w:rFonts w:hint="eastAsia" w:ascii="方正黑体_GBK" w:hAnsi="宋体" w:eastAsia="方正黑体_GBK" w:cs="宋体"/>
          <w:sz w:val="32"/>
          <w:szCs w:val="32"/>
        </w:rPr>
      </w:pPr>
      <w:r>
        <w:rPr>
          <w:rFonts w:hint="eastAsia" w:ascii="方正黑体_GBK" w:hAnsi="宋体" w:eastAsia="方正黑体_GBK" w:cs="宋体"/>
          <w:sz w:val="32"/>
          <w:szCs w:val="32"/>
        </w:rPr>
        <w:t>附件一</w:t>
      </w:r>
    </w:p>
    <w:p>
      <w:pPr>
        <w:pStyle w:val="2"/>
        <w:spacing w:line="500" w:lineRule="exact"/>
        <w:rPr>
          <w:rFonts w:hint="eastAsia" w:ascii="方正仿宋简体" w:eastAsia="方正仿宋简体" w:cs="宋体"/>
          <w:sz w:val="32"/>
          <w:szCs w:val="32"/>
        </w:rPr>
      </w:pPr>
      <w:r>
        <w:rPr>
          <w:rFonts w:hint="eastAsia" w:ascii="方正仿宋简体" w:hAnsi="宋体" w:eastAsia="方正仿宋简体" w:cs="宋体"/>
          <w:sz w:val="32"/>
          <w:szCs w:val="32"/>
        </w:rPr>
        <w:t>承诺函</w:t>
      </w:r>
    </w:p>
    <w:p>
      <w:pPr>
        <w:tabs>
          <w:tab w:val="left" w:pos="180"/>
        </w:tabs>
        <w:spacing w:line="500" w:lineRule="exac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镇江海纳川物流产业发展有限责任公司：</w:t>
      </w:r>
    </w:p>
    <w:p>
      <w:pPr>
        <w:spacing w:line="500" w:lineRule="exact"/>
        <w:ind w:left="240" w:firstLine="640" w:firstLineChars="200"/>
        <w:rPr>
          <w:rFonts w:hint="eastAsia" w:ascii="方正仿宋简体" w:hAnsi="仿宋_GB2312" w:eastAsia="方正仿宋简体" w:cs="仿宋_GB2312"/>
          <w:kern w:val="1"/>
          <w:sz w:val="32"/>
          <w:szCs w:val="32"/>
        </w:rPr>
      </w:pPr>
    </w:p>
    <w:p>
      <w:pPr>
        <w:spacing w:line="500" w:lineRule="exact"/>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u w:val="single"/>
        </w:rPr>
        <w:t xml:space="preserve">                       </w:t>
      </w:r>
      <w:r>
        <w:rPr>
          <w:rFonts w:hint="eastAsia" w:ascii="方正仿宋简体" w:hAnsi="仿宋_GB2312" w:eastAsia="方正仿宋简体" w:cs="仿宋_GB2312"/>
          <w:kern w:val="1"/>
          <w:sz w:val="32"/>
          <w:szCs w:val="32"/>
        </w:rPr>
        <w:t>(投标单位全称)授权</w:t>
      </w:r>
      <w:r>
        <w:rPr>
          <w:rFonts w:hint="eastAsia" w:ascii="方正仿宋简体" w:hAnsi="仿宋_GB2312" w:eastAsia="方正仿宋简体" w:cs="仿宋_GB2312"/>
          <w:kern w:val="1"/>
          <w:sz w:val="32"/>
          <w:szCs w:val="32"/>
          <w:u w:val="single"/>
        </w:rPr>
        <w:t xml:space="preserve">           </w:t>
      </w:r>
      <w:r>
        <w:rPr>
          <w:rFonts w:hint="eastAsia" w:ascii="方正仿宋简体" w:hAnsi="仿宋_GB2312" w:eastAsia="方正仿宋简体" w:cs="仿宋_GB2312"/>
          <w:kern w:val="1"/>
          <w:sz w:val="32"/>
          <w:szCs w:val="32"/>
        </w:rPr>
        <w:t>(全权代表姓名)</w:t>
      </w:r>
      <w:r>
        <w:rPr>
          <w:rFonts w:hint="eastAsia" w:ascii="方正仿宋简体" w:hAnsi="仿宋_GB2312" w:eastAsia="方正仿宋简体" w:cs="仿宋_GB2312"/>
          <w:kern w:val="1"/>
          <w:sz w:val="32"/>
          <w:szCs w:val="32"/>
          <w:u w:val="single"/>
        </w:rPr>
        <w:t xml:space="preserve">          </w:t>
      </w:r>
      <w:r>
        <w:rPr>
          <w:rFonts w:hint="eastAsia" w:ascii="方正仿宋简体" w:hAnsi="仿宋_GB2312" w:eastAsia="方正仿宋简体" w:cs="仿宋_GB2312"/>
          <w:kern w:val="1"/>
          <w:sz w:val="32"/>
          <w:szCs w:val="32"/>
        </w:rPr>
        <w:t>(职务、职称)为全权代表，参加贵方组织的招标有关活动，并对该项目进行投标。为此：</w:t>
      </w:r>
    </w:p>
    <w:p>
      <w:pPr>
        <w:spacing w:line="500" w:lineRule="exact"/>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1、提供投标须知规定的全部投标文件：包括正本</w:t>
      </w:r>
      <w:r>
        <w:rPr>
          <w:rFonts w:hint="eastAsia" w:ascii="方正仿宋简体" w:hAnsi="仿宋_GB2312" w:eastAsia="方正仿宋简体" w:cs="仿宋_GB2312"/>
          <w:kern w:val="1"/>
          <w:sz w:val="32"/>
          <w:szCs w:val="32"/>
          <w:u w:val="single"/>
        </w:rPr>
        <w:t xml:space="preserve">    </w:t>
      </w:r>
      <w:r>
        <w:rPr>
          <w:rFonts w:hint="eastAsia" w:ascii="方正仿宋简体" w:hAnsi="仿宋_GB2312" w:eastAsia="方正仿宋简体" w:cs="仿宋_GB2312"/>
          <w:kern w:val="1"/>
          <w:sz w:val="32"/>
          <w:szCs w:val="32"/>
        </w:rPr>
        <w:t>份，副本</w:t>
      </w:r>
      <w:r>
        <w:rPr>
          <w:rFonts w:hint="eastAsia" w:ascii="方正仿宋简体" w:hAnsi="仿宋_GB2312" w:eastAsia="方正仿宋简体" w:cs="仿宋_GB2312"/>
          <w:kern w:val="1"/>
          <w:sz w:val="32"/>
          <w:szCs w:val="32"/>
          <w:u w:val="single"/>
        </w:rPr>
        <w:t xml:space="preserve">    </w:t>
      </w:r>
      <w:r>
        <w:rPr>
          <w:rFonts w:hint="eastAsia" w:ascii="方正仿宋简体" w:hAnsi="仿宋_GB2312" w:eastAsia="方正仿宋简体" w:cs="仿宋_GB2312"/>
          <w:kern w:val="1"/>
          <w:sz w:val="32"/>
          <w:szCs w:val="32"/>
        </w:rPr>
        <w:t>份；</w:t>
      </w:r>
    </w:p>
    <w:p>
      <w:pPr>
        <w:spacing w:line="500" w:lineRule="exact"/>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2、投标项目的总投标价见开标一览表。</w:t>
      </w:r>
    </w:p>
    <w:p>
      <w:pPr>
        <w:spacing w:line="500" w:lineRule="exact"/>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3、我方保证遵守招标文件中的全部规定。</w:t>
      </w:r>
    </w:p>
    <w:p>
      <w:pPr>
        <w:spacing w:line="500" w:lineRule="exact"/>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4、我方保证忠实地执行双方签订的合同,并承担合同规定的责任义务。</w:t>
      </w:r>
    </w:p>
    <w:p>
      <w:pPr>
        <w:spacing w:line="500" w:lineRule="exact"/>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sz w:val="32"/>
          <w:szCs w:val="32"/>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spacing w:line="500" w:lineRule="exact"/>
        <w:ind w:firstLine="640" w:firstLineChars="200"/>
        <w:jc w:val="left"/>
        <w:rPr>
          <w:rFonts w:hint="eastAsia" w:ascii="方正仿宋简体" w:hAnsi="仿宋_GB2312" w:eastAsia="方正仿宋简体" w:cs="仿宋_GB2312"/>
          <w:sz w:val="32"/>
          <w:szCs w:val="32"/>
          <w:shd w:val="clear" w:color="auto" w:fill="FFFFFF"/>
        </w:rPr>
      </w:pPr>
      <w:r>
        <w:rPr>
          <w:rFonts w:hint="eastAsia" w:ascii="方正仿宋简体" w:hAnsi="仿宋_GB2312" w:eastAsia="方正仿宋简体" w:cs="仿宋_GB2312"/>
          <w:kern w:val="1"/>
          <w:sz w:val="32"/>
          <w:szCs w:val="32"/>
        </w:rPr>
        <w:t>6、愿意向贵方提供任何与该项投标有关的数据、情况和技术资料，</w:t>
      </w:r>
      <w:r>
        <w:rPr>
          <w:rFonts w:hint="eastAsia" w:ascii="方正仿宋简体" w:hAnsi="仿宋_GB2312" w:eastAsia="方正仿宋简体" w:cs="仿宋_GB2312"/>
          <w:sz w:val="32"/>
          <w:szCs w:val="32"/>
          <w:shd w:val="clear" w:color="auto" w:fill="FFFFFF"/>
        </w:rPr>
        <w:t>完全理解贵方不一定接受最低报价或收到的任何报价。</w:t>
      </w:r>
    </w:p>
    <w:p>
      <w:pPr>
        <w:spacing w:line="500" w:lineRule="exact"/>
        <w:ind w:firstLine="640" w:firstLineChars="200"/>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7、在规定的开标时间后，若我方违反招标文件相关条款的规定，则我方将放弃索回投标保证金的权利。</w:t>
      </w:r>
    </w:p>
    <w:p>
      <w:pPr>
        <w:spacing w:line="500" w:lineRule="exact"/>
        <w:ind w:firstLine="640" w:firstLineChars="200"/>
        <w:jc w:val="left"/>
        <w:rPr>
          <w:rFonts w:hint="eastAsia" w:ascii="方正仿宋简体" w:hAnsi="仿宋_GB2312" w:eastAsia="方正仿宋简体" w:cs="仿宋_GB2312"/>
          <w:kern w:val="1"/>
          <w:sz w:val="32"/>
          <w:szCs w:val="32"/>
        </w:rPr>
      </w:pPr>
    </w:p>
    <w:p>
      <w:pPr>
        <w:spacing w:before="156" w:beforeLines="50" w:line="500" w:lineRule="exact"/>
        <w:jc w:val="left"/>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全权代表（签字）：                   投标单位（盖章）：</w:t>
      </w:r>
    </w:p>
    <w:p>
      <w:pPr>
        <w:spacing w:before="156" w:beforeLines="50" w:line="500" w:lineRule="exact"/>
        <w:jc w:val="left"/>
        <w:rPr>
          <w:rFonts w:ascii="仿宋_GB2312" w:hAnsi="仿宋_GB2312" w:eastAsia="仿宋_GB2312" w:cs="仿宋_GB2312"/>
          <w:kern w:val="1"/>
          <w:sz w:val="24"/>
        </w:rPr>
      </w:pPr>
      <w:r>
        <w:rPr>
          <w:rFonts w:hint="eastAsia" w:ascii="方正仿宋简体" w:hAnsi="仿宋_GB2312" w:eastAsia="方正仿宋简体" w:cs="仿宋_GB2312"/>
          <w:kern w:val="1"/>
          <w:sz w:val="32"/>
          <w:szCs w:val="32"/>
        </w:rPr>
        <w:t>日  期：</w:t>
      </w:r>
      <w:r>
        <w:rPr>
          <w:rFonts w:hint="eastAsia" w:ascii="方正仿宋简体" w:hAnsi="仿宋_GB2312" w:eastAsia="方正仿宋简体"/>
          <w:sz w:val="32"/>
          <w:szCs w:val="32"/>
        </w:rPr>
        <w:t xml:space="preserve">  </w:t>
      </w:r>
      <w:r>
        <w:rPr>
          <w:rFonts w:ascii="仿宋_GB2312" w:hAnsi="仿宋_GB2312" w:eastAsia="仿宋_GB2312"/>
          <w:sz w:val="24"/>
          <w:szCs w:val="24"/>
        </w:rPr>
        <w:t xml:space="preserve">    </w:t>
      </w:r>
    </w:p>
    <w:p>
      <w:pPr>
        <w:spacing w:after="160"/>
        <w:rPr>
          <w:rFonts w:hint="eastAsia" w:ascii="方正黑体_GBK" w:hAnsi="仿宋_GB2312" w:eastAsia="方正黑体_GBK"/>
          <w:b/>
          <w:sz w:val="32"/>
          <w:szCs w:val="32"/>
        </w:rPr>
      </w:pPr>
    </w:p>
    <w:p>
      <w:pPr>
        <w:spacing w:after="160"/>
        <w:rPr>
          <w:rFonts w:hint="eastAsia" w:ascii="方正黑体_GBK" w:hAnsi="仿宋_GB2312" w:eastAsia="方正黑体_GBK"/>
          <w:b/>
          <w:sz w:val="32"/>
          <w:szCs w:val="32"/>
        </w:rPr>
      </w:pPr>
      <w:r>
        <w:rPr>
          <w:rFonts w:hint="eastAsia" w:ascii="方正黑体_GBK" w:hAnsi="仿宋_GB2312" w:eastAsia="方正黑体_GBK"/>
          <w:b/>
          <w:sz w:val="32"/>
          <w:szCs w:val="32"/>
        </w:rPr>
        <w:t>附件二</w:t>
      </w:r>
    </w:p>
    <w:p>
      <w:pPr>
        <w:pStyle w:val="2"/>
        <w:spacing w:after="160" w:line="600" w:lineRule="exact"/>
        <w:rPr>
          <w:rFonts w:ascii="宋体" w:hAnsi="宋体" w:eastAsia="宋体"/>
        </w:rPr>
      </w:pPr>
      <w:r>
        <w:rPr>
          <w:rFonts w:ascii="宋体" w:hAnsi="宋体" w:eastAsia="宋体"/>
        </w:rPr>
        <w:t>开标一览表</w:t>
      </w:r>
    </w:p>
    <w:p>
      <w:pPr>
        <w:spacing w:after="160" w:line="360" w:lineRule="auto"/>
        <w:jc w:val="left"/>
        <w:rPr>
          <w:rFonts w:ascii="方正仿宋简体" w:eastAsia="方正仿宋简体"/>
          <w:b/>
          <w:color w:val="FF0000"/>
          <w:sz w:val="32"/>
          <w:szCs w:val="32"/>
        </w:rPr>
      </w:pPr>
      <w:r>
        <w:rPr>
          <w:rFonts w:hint="eastAsia" w:ascii="方正仿宋简体" w:hAnsi="仿宋_GB2312" w:eastAsia="方正仿宋简体"/>
          <w:b/>
          <w:color w:val="FF0000"/>
          <w:sz w:val="32"/>
          <w:szCs w:val="32"/>
        </w:rPr>
        <w:t>报价货币：人民币(元)</w:t>
      </w:r>
    </w:p>
    <w:tbl>
      <w:tblPr>
        <w:tblStyle w:val="28"/>
        <w:tblW w:w="9282" w:type="dxa"/>
        <w:jc w:val="center"/>
        <w:tblLayout w:type="fixed"/>
        <w:tblCellMar>
          <w:top w:w="0" w:type="dxa"/>
          <w:left w:w="108" w:type="dxa"/>
          <w:bottom w:w="0" w:type="dxa"/>
          <w:right w:w="108" w:type="dxa"/>
        </w:tblCellMar>
      </w:tblPr>
      <w:tblGrid>
        <w:gridCol w:w="1129"/>
        <w:gridCol w:w="2552"/>
        <w:gridCol w:w="992"/>
        <w:gridCol w:w="1276"/>
        <w:gridCol w:w="1984"/>
        <w:gridCol w:w="1349"/>
      </w:tblGrid>
      <w:tr>
        <w:tblPrEx>
          <w:tblCellMar>
            <w:top w:w="0" w:type="dxa"/>
            <w:left w:w="108" w:type="dxa"/>
            <w:bottom w:w="0" w:type="dxa"/>
            <w:right w:w="108" w:type="dxa"/>
          </w:tblCellMar>
        </w:tblPrEx>
        <w:trPr>
          <w:trHeight w:val="714" w:hRule="exact"/>
          <w:jc w:val="center"/>
        </w:trPr>
        <w:tc>
          <w:tcPr>
            <w:tcW w:w="1129" w:type="dxa"/>
            <w:tcBorders>
              <w:top w:val="single" w:color="000000" w:sz="4" w:space="0"/>
              <w:left w:val="single" w:color="000000" w:sz="4" w:space="0"/>
              <w:bottom w:val="single" w:color="000000" w:sz="4" w:space="0"/>
              <w:right w:val="single" w:color="000000" w:sz="4" w:space="0"/>
            </w:tcBorders>
          </w:tcPr>
          <w:p>
            <w:pPr>
              <w:spacing w:after="160" w:line="360" w:lineRule="auto"/>
              <w:jc w:val="center"/>
              <w:rPr>
                <w:rFonts w:ascii="方正仿宋简体" w:hAnsi="仿宋_GB2312" w:eastAsia="方正仿宋简体"/>
                <w:b/>
                <w:sz w:val="32"/>
                <w:szCs w:val="32"/>
              </w:rPr>
            </w:pPr>
            <w:r>
              <w:rPr>
                <w:rFonts w:hint="eastAsia" w:ascii="方正仿宋简体" w:hAnsi="仿宋_GB2312" w:eastAsia="方正仿宋简体"/>
                <w:b/>
                <w:sz w:val="32"/>
                <w:szCs w:val="32"/>
              </w:rPr>
              <w:t>序号</w:t>
            </w:r>
          </w:p>
        </w:tc>
        <w:tc>
          <w:tcPr>
            <w:tcW w:w="3544" w:type="dxa"/>
            <w:gridSpan w:val="2"/>
            <w:tcBorders>
              <w:top w:val="single" w:color="000000" w:sz="4" w:space="0"/>
              <w:left w:val="single" w:color="000000" w:sz="4" w:space="0"/>
              <w:bottom w:val="single" w:color="000000" w:sz="4" w:space="0"/>
              <w:right w:val="single" w:color="000000" w:sz="4" w:space="0"/>
            </w:tcBorders>
            <w:vAlign w:val="center"/>
          </w:tcPr>
          <w:p>
            <w:pPr>
              <w:spacing w:after="160" w:line="360" w:lineRule="auto"/>
              <w:jc w:val="center"/>
              <w:rPr>
                <w:rFonts w:ascii="方正仿宋简体" w:hAnsi="仿宋_GB2312" w:eastAsia="方正仿宋简体"/>
                <w:b/>
                <w:sz w:val="32"/>
                <w:szCs w:val="32"/>
              </w:rPr>
            </w:pPr>
            <w:r>
              <w:rPr>
                <w:rFonts w:hint="eastAsia" w:ascii="方正仿宋简体" w:hAnsi="仿宋_GB2312" w:eastAsia="方正仿宋简体"/>
                <w:b/>
                <w:sz w:val="32"/>
                <w:szCs w:val="32"/>
              </w:rPr>
              <w:t>费用名称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after="160" w:line="360" w:lineRule="auto"/>
              <w:jc w:val="center"/>
              <w:rPr>
                <w:rFonts w:ascii="方正仿宋简体" w:hAnsi="仿宋_GB2312" w:eastAsia="方正仿宋简体"/>
                <w:b/>
                <w:sz w:val="32"/>
                <w:szCs w:val="32"/>
              </w:rPr>
            </w:pPr>
            <w:r>
              <w:rPr>
                <w:rFonts w:hint="eastAsia" w:ascii="方正仿宋简体" w:hAnsi="仿宋_GB2312" w:eastAsia="方正仿宋简体"/>
                <w:b/>
                <w:sz w:val="32"/>
                <w:szCs w:val="32"/>
              </w:rPr>
              <w:t>数量</w:t>
            </w:r>
          </w:p>
        </w:tc>
        <w:tc>
          <w:tcPr>
            <w:tcW w:w="1984" w:type="dxa"/>
            <w:tcBorders>
              <w:top w:val="single" w:color="000000" w:sz="4" w:space="0"/>
              <w:left w:val="single" w:color="000000" w:sz="4" w:space="0"/>
              <w:bottom w:val="single" w:color="000000" w:sz="4" w:space="0"/>
              <w:right w:val="single" w:color="000000" w:sz="4" w:space="0"/>
            </w:tcBorders>
          </w:tcPr>
          <w:p>
            <w:pPr>
              <w:spacing w:after="160" w:line="360" w:lineRule="auto"/>
              <w:rPr>
                <w:rFonts w:ascii="方正仿宋简体" w:hAnsi="仿宋_GB2312" w:eastAsia="方正仿宋简体"/>
                <w:b/>
                <w:sz w:val="32"/>
                <w:szCs w:val="32"/>
              </w:rPr>
            </w:pPr>
            <w:r>
              <w:rPr>
                <w:rFonts w:hint="eastAsia" w:ascii="方正仿宋简体" w:hAnsi="仿宋_GB2312" w:eastAsia="方正仿宋简体"/>
                <w:b/>
                <w:sz w:val="32"/>
                <w:szCs w:val="32"/>
              </w:rPr>
              <w:t>价格（含税）</w:t>
            </w:r>
          </w:p>
          <w:p>
            <w:pPr>
              <w:spacing w:after="160" w:line="360" w:lineRule="auto"/>
              <w:jc w:val="center"/>
              <w:rPr>
                <w:rFonts w:ascii="方正仿宋简体" w:hAnsi="仿宋_GB2312" w:eastAsia="方正仿宋简体"/>
                <w:b/>
                <w:sz w:val="32"/>
                <w:szCs w:val="32"/>
              </w:rPr>
            </w:pPr>
            <w:r>
              <w:rPr>
                <w:rFonts w:hint="eastAsia" w:ascii="方正仿宋简体" w:hAnsi="仿宋_GB2312" w:eastAsia="方正仿宋简体"/>
                <w:b/>
                <w:sz w:val="32"/>
                <w:szCs w:val="32"/>
              </w:rPr>
              <w:t xml:space="preserve">  </w:t>
            </w:r>
          </w:p>
        </w:tc>
        <w:tc>
          <w:tcPr>
            <w:tcW w:w="1349" w:type="dxa"/>
            <w:tcBorders>
              <w:top w:val="single" w:color="000000" w:sz="4" w:space="0"/>
              <w:left w:val="single" w:color="000000" w:sz="4" w:space="0"/>
              <w:bottom w:val="single" w:color="000000" w:sz="4" w:space="0"/>
              <w:right w:val="single" w:color="000000" w:sz="4" w:space="0"/>
            </w:tcBorders>
            <w:vAlign w:val="center"/>
          </w:tcPr>
          <w:p>
            <w:pPr>
              <w:spacing w:after="160" w:line="360" w:lineRule="auto"/>
              <w:jc w:val="center"/>
              <w:rPr>
                <w:rFonts w:ascii="方正仿宋简体" w:hAnsi="仿宋_GB2312" w:eastAsia="方正仿宋简体"/>
                <w:b/>
                <w:sz w:val="32"/>
                <w:szCs w:val="32"/>
              </w:rPr>
            </w:pPr>
            <w:r>
              <w:rPr>
                <w:rFonts w:hint="eastAsia" w:ascii="方正仿宋简体" w:hAnsi="仿宋_GB2312" w:eastAsia="方正仿宋简体"/>
                <w:b/>
                <w:sz w:val="32"/>
                <w:szCs w:val="32"/>
              </w:rPr>
              <w:t>质保期</w:t>
            </w:r>
          </w:p>
        </w:tc>
      </w:tr>
      <w:tr>
        <w:tblPrEx>
          <w:tblCellMar>
            <w:top w:w="0" w:type="dxa"/>
            <w:left w:w="108" w:type="dxa"/>
            <w:bottom w:w="0" w:type="dxa"/>
            <w:right w:w="108" w:type="dxa"/>
          </w:tblCellMar>
        </w:tblPrEx>
        <w:trPr>
          <w:trHeight w:val="1183" w:hRule="exact"/>
          <w:jc w:val="center"/>
        </w:trPr>
        <w:tc>
          <w:tcPr>
            <w:tcW w:w="1129" w:type="dxa"/>
            <w:tcBorders>
              <w:top w:val="single" w:color="000000" w:sz="4" w:space="0"/>
              <w:left w:val="single" w:color="000000" w:sz="4" w:space="0"/>
              <w:bottom w:val="single" w:color="000000" w:sz="4" w:space="0"/>
              <w:right w:val="single" w:color="000000" w:sz="4" w:space="0"/>
            </w:tcBorders>
          </w:tcPr>
          <w:p>
            <w:pPr>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1</w:t>
            </w:r>
          </w:p>
        </w:tc>
        <w:tc>
          <w:tcPr>
            <w:tcW w:w="3544" w:type="dxa"/>
            <w:gridSpan w:val="2"/>
            <w:tcBorders>
              <w:top w:val="nil"/>
              <w:left w:val="nil"/>
              <w:bottom w:val="single" w:color="auto" w:sz="4" w:space="0"/>
              <w:right w:val="single" w:color="auto" w:sz="4" w:space="0"/>
            </w:tcBorders>
            <w:vAlign w:val="center"/>
          </w:tcPr>
          <w:p>
            <w:pPr>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海纳川办公楼防雷接地改造施工</w:t>
            </w:r>
          </w:p>
        </w:tc>
        <w:tc>
          <w:tcPr>
            <w:tcW w:w="1276" w:type="dxa"/>
            <w:tcBorders>
              <w:top w:val="nil"/>
              <w:left w:val="nil"/>
              <w:bottom w:val="single" w:color="auto" w:sz="4" w:space="0"/>
              <w:right w:val="single" w:color="auto" w:sz="4" w:space="0"/>
            </w:tcBorders>
            <w:vAlign w:val="center"/>
          </w:tcPr>
          <w:p>
            <w:pPr>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1项</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after="160" w:line="360" w:lineRule="auto"/>
              <w:ind w:firstLine="482"/>
              <w:jc w:val="center"/>
              <w:rPr>
                <w:rFonts w:ascii="方正仿宋简体" w:hAnsi="仿宋_GB2312" w:eastAsia="方正仿宋简体"/>
                <w:b/>
                <w:sz w:val="32"/>
                <w:szCs w:val="32"/>
              </w:rPr>
            </w:pPr>
          </w:p>
        </w:tc>
        <w:tc>
          <w:tcPr>
            <w:tcW w:w="1349" w:type="dxa"/>
            <w:tcBorders>
              <w:top w:val="single" w:color="000000" w:sz="4" w:space="0"/>
              <w:left w:val="single" w:color="000000" w:sz="4" w:space="0"/>
              <w:bottom w:val="single" w:color="000000" w:sz="4" w:space="0"/>
              <w:right w:val="single" w:color="000000" w:sz="4" w:space="0"/>
            </w:tcBorders>
            <w:vAlign w:val="center"/>
          </w:tcPr>
          <w:p>
            <w:pPr>
              <w:spacing w:after="160" w:line="360" w:lineRule="auto"/>
              <w:rPr>
                <w:rFonts w:ascii="方正仿宋简体" w:hAnsi="仿宋_GB2312" w:eastAsia="方正仿宋简体"/>
                <w:b/>
                <w:sz w:val="32"/>
                <w:szCs w:val="32"/>
              </w:rPr>
            </w:pPr>
            <w:r>
              <w:rPr>
                <w:rFonts w:hint="eastAsia" w:ascii="方正仿宋简体" w:hAnsi="仿宋_GB2312" w:eastAsia="方正仿宋简体"/>
                <w:b/>
                <w:sz w:val="32"/>
                <w:szCs w:val="32"/>
              </w:rPr>
              <w:t>1年</w:t>
            </w:r>
          </w:p>
        </w:tc>
      </w:tr>
      <w:tr>
        <w:tblPrEx>
          <w:tblCellMar>
            <w:top w:w="0" w:type="dxa"/>
            <w:left w:w="108" w:type="dxa"/>
            <w:bottom w:w="0" w:type="dxa"/>
            <w:right w:w="108" w:type="dxa"/>
          </w:tblCellMar>
        </w:tblPrEx>
        <w:trPr>
          <w:trHeight w:val="807" w:hRule="exact"/>
          <w:jc w:val="center"/>
        </w:trPr>
        <w:tc>
          <w:tcPr>
            <w:tcW w:w="5949" w:type="dxa"/>
            <w:gridSpan w:val="4"/>
            <w:tcBorders>
              <w:top w:val="single" w:color="000000" w:sz="4" w:space="0"/>
              <w:left w:val="single" w:color="000000" w:sz="4" w:space="0"/>
              <w:bottom w:val="single" w:color="000000" w:sz="4" w:space="0"/>
              <w:right w:val="single" w:color="auto" w:sz="4" w:space="0"/>
            </w:tcBorders>
            <w:vAlign w:val="center"/>
          </w:tcPr>
          <w:p>
            <w:pPr>
              <w:spacing w:after="160" w:line="360" w:lineRule="auto"/>
              <w:jc w:val="left"/>
              <w:rPr>
                <w:rFonts w:ascii="方正仿宋简体" w:hAnsi="仿宋_GB2312" w:eastAsia="方正仿宋简体"/>
                <w:b/>
                <w:sz w:val="32"/>
                <w:szCs w:val="32"/>
              </w:rPr>
            </w:pPr>
            <w:r>
              <w:rPr>
                <w:rFonts w:hint="eastAsia" w:ascii="方正仿宋简体" w:hAnsi="仿宋_GB2312" w:eastAsia="方正仿宋简体"/>
                <w:b/>
                <w:sz w:val="32"/>
                <w:szCs w:val="32"/>
              </w:rPr>
              <w:t>合计总价（大写）：</w:t>
            </w:r>
          </w:p>
        </w:tc>
        <w:tc>
          <w:tcPr>
            <w:tcW w:w="3333" w:type="dxa"/>
            <w:gridSpan w:val="2"/>
            <w:tcBorders>
              <w:top w:val="single" w:color="000000" w:sz="4" w:space="0"/>
              <w:left w:val="single" w:color="auto" w:sz="4" w:space="0"/>
              <w:bottom w:val="single" w:color="000000" w:sz="4" w:space="0"/>
              <w:right w:val="single" w:color="000000" w:sz="4" w:space="0"/>
            </w:tcBorders>
            <w:vAlign w:val="center"/>
          </w:tcPr>
          <w:p>
            <w:pPr>
              <w:tabs>
                <w:tab w:val="center" w:pos="2426"/>
              </w:tabs>
              <w:spacing w:after="160" w:line="360" w:lineRule="auto"/>
              <w:jc w:val="left"/>
              <w:rPr>
                <w:rFonts w:ascii="方正仿宋简体" w:hAnsi="仿宋_GB2312" w:eastAsia="方正仿宋简体"/>
                <w:b/>
                <w:sz w:val="32"/>
                <w:szCs w:val="32"/>
              </w:rPr>
            </w:pPr>
            <w:r>
              <w:rPr>
                <w:rFonts w:hint="eastAsia" w:ascii="方正仿宋简体" w:hAnsi="仿宋_GB2312" w:eastAsia="方正仿宋简体"/>
                <w:b/>
                <w:sz w:val="32"/>
                <w:szCs w:val="32"/>
              </w:rPr>
              <w:t>小写：</w:t>
            </w:r>
          </w:p>
        </w:tc>
      </w:tr>
      <w:tr>
        <w:tblPrEx>
          <w:tblCellMar>
            <w:top w:w="0" w:type="dxa"/>
            <w:left w:w="108" w:type="dxa"/>
            <w:bottom w:w="0" w:type="dxa"/>
            <w:right w:w="108" w:type="dxa"/>
          </w:tblCellMar>
        </w:tblPrEx>
        <w:trPr>
          <w:trHeight w:val="507" w:hRule="exact"/>
          <w:jc w:val="center"/>
        </w:trPr>
        <w:tc>
          <w:tcPr>
            <w:tcW w:w="3681" w:type="dxa"/>
            <w:gridSpan w:val="2"/>
            <w:tcBorders>
              <w:top w:val="single" w:color="000000" w:sz="4" w:space="0"/>
              <w:left w:val="single" w:color="000000" w:sz="4" w:space="0"/>
              <w:bottom w:val="single" w:color="000000" w:sz="4" w:space="0"/>
              <w:right w:val="single" w:color="auto" w:sz="4" w:space="0"/>
            </w:tcBorders>
          </w:tcPr>
          <w:p>
            <w:pPr>
              <w:spacing w:after="160" w:line="360" w:lineRule="auto"/>
              <w:jc w:val="left"/>
              <w:rPr>
                <w:rFonts w:ascii="方正仿宋简体" w:hAnsi="仿宋_GB2312" w:eastAsia="方正仿宋简体"/>
                <w:b/>
                <w:sz w:val="32"/>
                <w:szCs w:val="32"/>
              </w:rPr>
            </w:pPr>
            <w:r>
              <w:rPr>
                <w:rFonts w:hint="eastAsia" w:ascii="方正仿宋简体" w:hAnsi="仿宋_GB2312" w:eastAsia="方正仿宋简体"/>
                <w:b/>
                <w:sz w:val="32"/>
                <w:szCs w:val="32"/>
              </w:rPr>
              <w:t>工期：30天</w:t>
            </w:r>
          </w:p>
        </w:tc>
        <w:tc>
          <w:tcPr>
            <w:tcW w:w="2268" w:type="dxa"/>
            <w:gridSpan w:val="2"/>
            <w:tcBorders>
              <w:top w:val="single" w:color="000000" w:sz="4" w:space="0"/>
              <w:left w:val="single" w:color="auto" w:sz="4" w:space="0"/>
              <w:bottom w:val="single" w:color="000000" w:sz="4" w:space="0"/>
              <w:right w:val="single" w:color="auto" w:sz="4" w:space="0"/>
            </w:tcBorders>
          </w:tcPr>
          <w:p>
            <w:pPr>
              <w:spacing w:after="160" w:line="360" w:lineRule="auto"/>
              <w:jc w:val="left"/>
              <w:rPr>
                <w:rFonts w:ascii="方正仿宋简体" w:hAnsi="仿宋_GB2312" w:eastAsia="方正仿宋简体"/>
                <w:b/>
                <w:sz w:val="32"/>
                <w:szCs w:val="32"/>
              </w:rPr>
            </w:pPr>
            <w:r>
              <w:rPr>
                <w:rFonts w:hint="eastAsia" w:ascii="方正仿宋简体" w:hAnsi="仿宋_GB2312" w:eastAsia="方正仿宋简体"/>
                <w:b/>
                <w:sz w:val="32"/>
                <w:szCs w:val="32"/>
              </w:rPr>
              <w:t>税率：</w:t>
            </w:r>
          </w:p>
        </w:tc>
        <w:tc>
          <w:tcPr>
            <w:tcW w:w="3333" w:type="dxa"/>
            <w:gridSpan w:val="2"/>
            <w:tcBorders>
              <w:top w:val="single" w:color="000000" w:sz="4" w:space="0"/>
              <w:left w:val="single" w:color="auto" w:sz="4" w:space="0"/>
              <w:bottom w:val="single" w:color="000000" w:sz="4" w:space="0"/>
              <w:right w:val="single" w:color="000000" w:sz="4" w:space="0"/>
            </w:tcBorders>
          </w:tcPr>
          <w:p>
            <w:pPr>
              <w:spacing w:after="160" w:line="360" w:lineRule="auto"/>
              <w:jc w:val="left"/>
              <w:rPr>
                <w:rFonts w:ascii="方正仿宋简体" w:hAnsi="仿宋_GB2312" w:eastAsia="方正仿宋简体"/>
                <w:b/>
                <w:sz w:val="32"/>
                <w:szCs w:val="32"/>
              </w:rPr>
            </w:pPr>
            <w:r>
              <w:rPr>
                <w:rFonts w:hint="eastAsia" w:ascii="方正仿宋简体" w:hAnsi="仿宋_GB2312" w:eastAsia="方正仿宋简体"/>
                <w:b/>
                <w:sz w:val="32"/>
                <w:szCs w:val="32"/>
              </w:rPr>
              <w:t>报价有效期：</w:t>
            </w:r>
          </w:p>
        </w:tc>
      </w:tr>
    </w:tbl>
    <w:p>
      <w:pPr>
        <w:wordWrap w:val="0"/>
        <w:spacing w:before="120" w:after="160" w:line="360" w:lineRule="auto"/>
        <w:jc w:val="left"/>
        <w:rPr>
          <w:rFonts w:ascii="方正仿宋简体" w:hAnsi="仿宋_GB2312" w:eastAsia="方正仿宋简体"/>
          <w:sz w:val="32"/>
          <w:szCs w:val="32"/>
        </w:rPr>
      </w:pPr>
      <w:r>
        <w:rPr>
          <w:rFonts w:hint="eastAsia" w:ascii="方正仿宋简体" w:hAnsi="仿宋_GB2312" w:eastAsia="方正仿宋简体"/>
          <w:sz w:val="32"/>
          <w:szCs w:val="32"/>
        </w:rPr>
        <w:t>全权代表（签字）：                   投标单位（盖章）：</w:t>
      </w:r>
    </w:p>
    <w:p>
      <w:pPr>
        <w:spacing w:before="120" w:after="160" w:line="360" w:lineRule="auto"/>
        <w:jc w:val="left"/>
        <w:rPr>
          <w:rFonts w:ascii="方正仿宋简体" w:hAnsi="仿宋_GB2312" w:eastAsia="方正仿宋简体"/>
          <w:sz w:val="32"/>
          <w:szCs w:val="32"/>
        </w:rPr>
      </w:pPr>
      <w:r>
        <w:rPr>
          <w:rFonts w:hint="eastAsia" w:ascii="方正仿宋简体" w:hAnsi="仿宋_GB2312" w:eastAsia="方正仿宋简体"/>
          <w:sz w:val="32"/>
          <w:szCs w:val="32"/>
        </w:rPr>
        <w:t xml:space="preserve">日  期：                         </w:t>
      </w:r>
    </w:p>
    <w:p>
      <w:pPr>
        <w:spacing w:after="160" w:line="360" w:lineRule="auto"/>
        <w:jc w:val="left"/>
        <w:rPr>
          <w:rFonts w:ascii="方正仿宋简体" w:hAnsi="仿宋_GB2312" w:eastAsia="方正仿宋简体"/>
          <w:sz w:val="32"/>
          <w:szCs w:val="32"/>
        </w:rPr>
      </w:pPr>
      <w:r>
        <w:rPr>
          <w:rFonts w:hint="eastAsia" w:ascii="方正仿宋简体" w:hAnsi="仿宋_GB2312" w:eastAsia="方正仿宋简体"/>
          <w:sz w:val="32"/>
          <w:szCs w:val="32"/>
        </w:rPr>
        <w:t>注：</w:t>
      </w:r>
      <w:bookmarkStart w:id="0" w:name="_GoBack"/>
      <w:bookmarkEnd w:id="0"/>
    </w:p>
    <w:p>
      <w:pPr>
        <w:keepNext w:val="0"/>
        <w:keepLines w:val="0"/>
        <w:pageBreakBefore w:val="0"/>
        <w:widowControl/>
        <w:tabs>
          <w:tab w:val="left" w:pos="360"/>
        </w:tabs>
        <w:kinsoku/>
        <w:wordWrap/>
        <w:overflowPunct/>
        <w:topLinePunct w:val="0"/>
        <w:autoSpaceDE/>
        <w:autoSpaceDN/>
        <w:bidi w:val="0"/>
        <w:adjustRightInd/>
        <w:snapToGrid/>
        <w:spacing w:after="160" w:line="400" w:lineRule="exact"/>
        <w:jc w:val="left"/>
        <w:textAlignment w:val="auto"/>
        <w:rPr>
          <w:rFonts w:ascii="方正仿宋简体" w:hAnsi="仿宋_GB2312" w:eastAsia="方正仿宋简体"/>
          <w:sz w:val="32"/>
          <w:szCs w:val="32"/>
        </w:rPr>
      </w:pPr>
      <w:r>
        <w:rPr>
          <w:rFonts w:hint="eastAsia" w:ascii="方正仿宋简体" w:hAnsi="仿宋_GB2312" w:eastAsia="方正仿宋简体"/>
          <w:sz w:val="32"/>
          <w:szCs w:val="32"/>
        </w:rPr>
        <w:t>1、未注明税率的视为</w:t>
      </w:r>
      <w:r>
        <w:rPr>
          <w:rFonts w:hint="eastAsia" w:ascii="方正仿宋简体" w:hAnsi="仿宋_GB2312" w:eastAsia="方正仿宋简体"/>
          <w:color w:val="FF0000"/>
          <w:sz w:val="32"/>
          <w:szCs w:val="32"/>
        </w:rPr>
        <w:t>无效</w:t>
      </w:r>
      <w:r>
        <w:rPr>
          <w:rFonts w:hint="eastAsia" w:ascii="方正仿宋简体" w:hAnsi="仿宋_GB2312" w:eastAsia="方正仿宋简体"/>
          <w:sz w:val="32"/>
          <w:szCs w:val="32"/>
        </w:rPr>
        <w:t>价格。</w:t>
      </w:r>
    </w:p>
    <w:p>
      <w:pPr>
        <w:keepNext w:val="0"/>
        <w:keepLines w:val="0"/>
        <w:pageBreakBefore w:val="0"/>
        <w:widowControl/>
        <w:tabs>
          <w:tab w:val="left" w:pos="360"/>
        </w:tabs>
        <w:kinsoku/>
        <w:wordWrap/>
        <w:overflowPunct/>
        <w:topLinePunct w:val="0"/>
        <w:autoSpaceDE/>
        <w:autoSpaceDN/>
        <w:bidi w:val="0"/>
        <w:adjustRightInd/>
        <w:snapToGrid/>
        <w:spacing w:after="160" w:line="400" w:lineRule="exact"/>
        <w:jc w:val="left"/>
        <w:textAlignment w:val="auto"/>
        <w:rPr>
          <w:rFonts w:ascii="方正仿宋简体" w:hAnsi="仿宋_GB2312" w:eastAsia="方正仿宋简体"/>
          <w:sz w:val="32"/>
          <w:szCs w:val="32"/>
        </w:rPr>
      </w:pPr>
      <w:r>
        <w:rPr>
          <w:rFonts w:hint="eastAsia" w:ascii="方正仿宋简体" w:hAnsi="仿宋_GB2312" w:eastAsia="方正仿宋简体"/>
          <w:sz w:val="32"/>
          <w:szCs w:val="32"/>
        </w:rPr>
        <w:t>2、报价有效期少于投标有效期的作</w:t>
      </w:r>
      <w:r>
        <w:rPr>
          <w:rFonts w:hint="eastAsia" w:ascii="方正仿宋简体" w:hAnsi="仿宋_GB2312" w:eastAsia="方正仿宋简体"/>
          <w:color w:val="FF0000"/>
          <w:sz w:val="32"/>
          <w:szCs w:val="32"/>
        </w:rPr>
        <w:t>废标</w:t>
      </w:r>
      <w:r>
        <w:rPr>
          <w:rFonts w:hint="eastAsia" w:ascii="方正仿宋简体" w:hAnsi="仿宋_GB2312" w:eastAsia="方正仿宋简体"/>
          <w:sz w:val="32"/>
          <w:szCs w:val="32"/>
        </w:rPr>
        <w:t>处理，未标注的以投标有效期为准。</w:t>
      </w:r>
    </w:p>
    <w:p>
      <w:pPr>
        <w:keepNext w:val="0"/>
        <w:keepLines w:val="0"/>
        <w:pageBreakBefore w:val="0"/>
        <w:widowControl/>
        <w:tabs>
          <w:tab w:val="left" w:pos="360"/>
        </w:tabs>
        <w:kinsoku/>
        <w:wordWrap/>
        <w:overflowPunct/>
        <w:topLinePunct w:val="0"/>
        <w:autoSpaceDE/>
        <w:autoSpaceDN/>
        <w:bidi w:val="0"/>
        <w:adjustRightInd/>
        <w:snapToGrid/>
        <w:spacing w:after="160" w:line="400" w:lineRule="exact"/>
        <w:jc w:val="left"/>
        <w:textAlignment w:val="auto"/>
        <w:rPr>
          <w:rFonts w:ascii="方正仿宋简体" w:hAnsi="仿宋_GB2312" w:eastAsia="方正仿宋简体"/>
          <w:sz w:val="32"/>
          <w:szCs w:val="32"/>
        </w:rPr>
      </w:pPr>
      <w:r>
        <w:rPr>
          <w:rFonts w:hint="eastAsia" w:ascii="方正仿宋简体" w:hAnsi="仿宋_GB2312" w:eastAsia="方正仿宋简体"/>
          <w:sz w:val="32"/>
          <w:szCs w:val="32"/>
        </w:rPr>
        <w:t>3、工期：投标方给出有利于招标方或竞标的最短交货期，超过招标文件要求交货期的视为</w:t>
      </w:r>
      <w:r>
        <w:rPr>
          <w:rFonts w:hint="eastAsia" w:ascii="方正仿宋简体" w:hAnsi="仿宋_GB2312" w:eastAsia="方正仿宋简体"/>
          <w:color w:val="FF0000"/>
          <w:sz w:val="32"/>
          <w:szCs w:val="32"/>
        </w:rPr>
        <w:t>废标</w:t>
      </w:r>
      <w:r>
        <w:rPr>
          <w:rFonts w:hint="eastAsia" w:ascii="方正仿宋简体" w:hAnsi="仿宋_GB2312" w:eastAsia="方正仿宋简体"/>
          <w:sz w:val="32"/>
          <w:szCs w:val="32"/>
        </w:rPr>
        <w:t>处理，未注明的以招标文件为准但可能会成为不中标的因素。</w:t>
      </w:r>
    </w:p>
    <w:p>
      <w:pPr>
        <w:keepNext w:val="0"/>
        <w:keepLines w:val="0"/>
        <w:pageBreakBefore w:val="0"/>
        <w:widowControl/>
        <w:tabs>
          <w:tab w:val="left" w:pos="360"/>
        </w:tabs>
        <w:kinsoku/>
        <w:wordWrap/>
        <w:overflowPunct/>
        <w:topLinePunct w:val="0"/>
        <w:autoSpaceDE/>
        <w:autoSpaceDN/>
        <w:bidi w:val="0"/>
        <w:adjustRightInd/>
        <w:snapToGrid/>
        <w:spacing w:after="160" w:line="400" w:lineRule="exact"/>
        <w:jc w:val="left"/>
        <w:textAlignment w:val="auto"/>
        <w:rPr>
          <w:rFonts w:ascii="方正仿宋简体" w:hAnsi="仿宋_GB2312" w:eastAsia="方正仿宋简体"/>
          <w:sz w:val="32"/>
          <w:szCs w:val="32"/>
        </w:rPr>
      </w:pPr>
      <w:r>
        <w:rPr>
          <w:rFonts w:hint="eastAsia" w:ascii="方正仿宋简体" w:hAnsi="仿宋_GB2312" w:eastAsia="方正仿宋简体"/>
          <w:sz w:val="32"/>
          <w:szCs w:val="32"/>
        </w:rPr>
        <w:t>4、特别说明：投标方应认真核算货物的单价，招标方有权根据单价来选择采购。</w:t>
      </w:r>
    </w:p>
    <w:p>
      <w:pPr>
        <w:keepNext w:val="0"/>
        <w:keepLines w:val="0"/>
        <w:pageBreakBefore w:val="0"/>
        <w:widowControl/>
        <w:tabs>
          <w:tab w:val="left" w:pos="360"/>
        </w:tabs>
        <w:kinsoku/>
        <w:wordWrap/>
        <w:overflowPunct/>
        <w:topLinePunct w:val="0"/>
        <w:autoSpaceDE/>
        <w:autoSpaceDN/>
        <w:bidi w:val="0"/>
        <w:adjustRightInd/>
        <w:snapToGrid/>
        <w:spacing w:after="160" w:line="400" w:lineRule="exact"/>
        <w:jc w:val="left"/>
        <w:textAlignment w:val="auto"/>
        <w:rPr>
          <w:rFonts w:ascii="仿宋_GB2312" w:hAnsi="仿宋_GB2312" w:eastAsia="仿宋_GB2312"/>
          <w:sz w:val="24"/>
          <w:szCs w:val="24"/>
        </w:rPr>
      </w:pPr>
      <w:r>
        <w:rPr>
          <w:rFonts w:hint="eastAsia" w:ascii="方正仿宋简体" w:hAnsi="仿宋_GB2312" w:eastAsia="方正仿宋简体"/>
          <w:sz w:val="32"/>
          <w:szCs w:val="32"/>
        </w:rPr>
        <w:t>5、招标控制价为:1</w:t>
      </w:r>
      <w:r>
        <w:rPr>
          <w:rFonts w:ascii="方正仿宋简体" w:hAnsi="仿宋_GB2312" w:eastAsia="方正仿宋简体"/>
          <w:sz w:val="32"/>
          <w:szCs w:val="32"/>
        </w:rPr>
        <w:t>3</w:t>
      </w:r>
      <w:r>
        <w:rPr>
          <w:rFonts w:hint="eastAsia" w:ascii="方正仿宋简体" w:hAnsi="仿宋_GB2312" w:eastAsia="方正仿宋简体"/>
          <w:sz w:val="32"/>
          <w:szCs w:val="32"/>
        </w:rPr>
        <w:t>万元(高于招标控制价作废标处理）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napToGrid w:val="0"/>
      <w:spacing w:after="160"/>
      <w:jc w:val="center"/>
    </w:pPr>
    <w:r>
      <w:rPr>
        <w:sz w:val="20"/>
      </w:rPr>
      <w:pict>
        <v:shape id="_x0000_s2049" o:spid="_x0000_s2049" o:spt="202" type="#_x0000_t202" style="position:absolute;left:0pt;margin-top:0pt;height:18.3pt;width:4.5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18"/>
                  <w:snapToGrid w:val="0"/>
                  <w:spacing w:after="160"/>
                  <w:jc w:val="center"/>
                </w:pPr>
                <w:r>
                  <w:fldChar w:fldCharType="begin"/>
                </w:r>
                <w:r>
                  <w:instrText xml:space="preserve">PAGE  \* MERGEFORMAT</w:instrText>
                </w:r>
                <w:r>
                  <w:fldChar w:fldCharType="separate"/>
                </w:r>
                <w: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000000" w:sz="4" w:space="0"/>
      </w:pBdr>
      <w:snapToGrid w:val="0"/>
      <w:spacing w:after="160"/>
      <w:jc w:val="right"/>
    </w:pPr>
    <w: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hdrShapeDefaults>
    <o:shapelayout v:ext="edit">
      <o:idmap v:ext="edit" data="2"/>
    </o:shapelayout>
  </w:hdrShapeDefaults>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NDY2YTI5NjhmZmZjMjIxYzU0Y2ZmMTU3ZjJkNmIifQ=="/>
  </w:docVars>
  <w:rsids>
    <w:rsidRoot w:val="00887407"/>
    <w:rsid w:val="0000598C"/>
    <w:rsid w:val="00007F88"/>
    <w:rsid w:val="00041C20"/>
    <w:rsid w:val="0007014F"/>
    <w:rsid w:val="00077589"/>
    <w:rsid w:val="000820DA"/>
    <w:rsid w:val="000946A8"/>
    <w:rsid w:val="000B7871"/>
    <w:rsid w:val="00106492"/>
    <w:rsid w:val="00123EB6"/>
    <w:rsid w:val="00200403"/>
    <w:rsid w:val="002057B7"/>
    <w:rsid w:val="00220E0F"/>
    <w:rsid w:val="002227B6"/>
    <w:rsid w:val="002237C1"/>
    <w:rsid w:val="002831A6"/>
    <w:rsid w:val="002D3318"/>
    <w:rsid w:val="002F11E2"/>
    <w:rsid w:val="003C7CD7"/>
    <w:rsid w:val="0043300E"/>
    <w:rsid w:val="00465DB3"/>
    <w:rsid w:val="004914EC"/>
    <w:rsid w:val="004A0676"/>
    <w:rsid w:val="004A1DB7"/>
    <w:rsid w:val="004A2365"/>
    <w:rsid w:val="004C12CB"/>
    <w:rsid w:val="004C28FB"/>
    <w:rsid w:val="004C37FA"/>
    <w:rsid w:val="004D16F0"/>
    <w:rsid w:val="004D47C5"/>
    <w:rsid w:val="004E1F3A"/>
    <w:rsid w:val="004E6347"/>
    <w:rsid w:val="004F633F"/>
    <w:rsid w:val="005066FE"/>
    <w:rsid w:val="0053464A"/>
    <w:rsid w:val="005A6E2E"/>
    <w:rsid w:val="005E789C"/>
    <w:rsid w:val="00627154"/>
    <w:rsid w:val="00671C1F"/>
    <w:rsid w:val="006B4A94"/>
    <w:rsid w:val="006E3708"/>
    <w:rsid w:val="0071267F"/>
    <w:rsid w:val="0076238E"/>
    <w:rsid w:val="007835BE"/>
    <w:rsid w:val="00784DFB"/>
    <w:rsid w:val="0079139D"/>
    <w:rsid w:val="007A2ED6"/>
    <w:rsid w:val="007A6F84"/>
    <w:rsid w:val="007F5284"/>
    <w:rsid w:val="008209E8"/>
    <w:rsid w:val="00835F3B"/>
    <w:rsid w:val="00887407"/>
    <w:rsid w:val="008B0BDB"/>
    <w:rsid w:val="008E7EE2"/>
    <w:rsid w:val="008F0FA5"/>
    <w:rsid w:val="009256F8"/>
    <w:rsid w:val="009B064F"/>
    <w:rsid w:val="00A20275"/>
    <w:rsid w:val="00A477D0"/>
    <w:rsid w:val="00A602EF"/>
    <w:rsid w:val="00AB7489"/>
    <w:rsid w:val="00AE6552"/>
    <w:rsid w:val="00AF6DD6"/>
    <w:rsid w:val="00B720F8"/>
    <w:rsid w:val="00BB43AD"/>
    <w:rsid w:val="00BE39C0"/>
    <w:rsid w:val="00BF31BC"/>
    <w:rsid w:val="00C20D7E"/>
    <w:rsid w:val="00C31740"/>
    <w:rsid w:val="00C36474"/>
    <w:rsid w:val="00C36DAF"/>
    <w:rsid w:val="00C6378F"/>
    <w:rsid w:val="00CA0211"/>
    <w:rsid w:val="00CC2953"/>
    <w:rsid w:val="00CC5662"/>
    <w:rsid w:val="00D20E2C"/>
    <w:rsid w:val="00D220C5"/>
    <w:rsid w:val="00DB0F49"/>
    <w:rsid w:val="00E268DD"/>
    <w:rsid w:val="00E34044"/>
    <w:rsid w:val="00E757CB"/>
    <w:rsid w:val="00E91108"/>
    <w:rsid w:val="00EA30D8"/>
    <w:rsid w:val="00EC4BBA"/>
    <w:rsid w:val="00EF2256"/>
    <w:rsid w:val="00EF4839"/>
    <w:rsid w:val="00F64444"/>
    <w:rsid w:val="00F764D0"/>
    <w:rsid w:val="00F77374"/>
    <w:rsid w:val="00F8570A"/>
    <w:rsid w:val="00FA47DF"/>
    <w:rsid w:val="00FB1315"/>
    <w:rsid w:val="00FD7B40"/>
    <w:rsid w:val="00FE36DD"/>
    <w:rsid w:val="05030C8C"/>
    <w:rsid w:val="1EF04440"/>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Times New Roman" w:cs="Times New Roman"/>
      <w:sz w:val="21"/>
      <w:szCs w:val="21"/>
      <w:lang w:val="en-US" w:eastAsia="zh-CN" w:bidi="ar-SA"/>
    </w:rPr>
  </w:style>
  <w:style w:type="paragraph" w:styleId="2">
    <w:name w:val="heading 1"/>
    <w:basedOn w:val="1"/>
    <w:next w:val="1"/>
    <w:qFormat/>
    <w:uiPriority w:val="7"/>
    <w:pPr>
      <w:keepNext/>
      <w:keepLines/>
      <w:jc w:val="center"/>
      <w:outlineLvl w:val="0"/>
    </w:pPr>
    <w:rPr>
      <w:rFonts w:ascii="Calibri" w:hAnsi="Calibri" w:eastAsia="Calibri"/>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9">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annotation text"/>
    <w:basedOn w:val="1"/>
    <w:link w:val="45"/>
    <w:unhideWhenUsed/>
    <w:qFormat/>
    <w:uiPriority w:val="0"/>
    <w:pPr>
      <w:widowControl w:val="0"/>
      <w:jc w:val="left"/>
    </w:pPr>
    <w:rPr>
      <w:rFonts w:eastAsia="宋体"/>
      <w:color w:val="000000"/>
      <w:szCs w:val="24"/>
    </w:rPr>
  </w:style>
  <w:style w:type="paragraph" w:styleId="13">
    <w:name w:val="Body Text Indent"/>
    <w:basedOn w:val="1"/>
    <w:link w:val="46"/>
    <w:semiHidden/>
    <w:unhideWhenUsed/>
    <w:qFormat/>
    <w:uiPriority w:val="99"/>
    <w:pPr>
      <w:spacing w:after="120"/>
      <w:ind w:left="420" w:leftChars="200"/>
    </w:pPr>
  </w:style>
  <w:style w:type="paragraph" w:styleId="14">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5">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6">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7">
    <w:name w:val="Balloon Text"/>
    <w:basedOn w:val="1"/>
    <w:link w:val="48"/>
    <w:semiHidden/>
    <w:unhideWhenUsed/>
    <w:qFormat/>
    <w:uiPriority w:val="99"/>
    <w:rPr>
      <w:sz w:val="18"/>
      <w:szCs w:val="18"/>
    </w:rPr>
  </w:style>
  <w:style w:type="paragraph" w:styleId="18">
    <w:name w:val="footer"/>
    <w:basedOn w:val="1"/>
    <w:qFormat/>
    <w:uiPriority w:val="0"/>
    <w:pPr>
      <w:tabs>
        <w:tab w:val="center" w:pos="4153"/>
        <w:tab w:val="right" w:pos="8306"/>
      </w:tabs>
    </w:pPr>
    <w:rPr>
      <w:sz w:val="18"/>
      <w:szCs w:val="18"/>
    </w:rPr>
  </w:style>
  <w:style w:type="paragraph" w:styleId="19">
    <w:name w:val="header"/>
    <w:basedOn w:val="1"/>
    <w:qFormat/>
    <w:uiPriority w:val="0"/>
    <w:pPr>
      <w:tabs>
        <w:tab w:val="center" w:pos="4153"/>
        <w:tab w:val="right" w:pos="8306"/>
      </w:tabs>
      <w:jc w:val="center"/>
    </w:pPr>
    <w:rPr>
      <w:sz w:val="18"/>
      <w:szCs w:val="18"/>
    </w:rPr>
  </w:style>
  <w:style w:type="paragraph" w:styleId="20">
    <w:name w:val="toc 1"/>
    <w:next w:val="1"/>
    <w:unhideWhenUsed/>
    <w:qFormat/>
    <w:uiPriority w:val="28"/>
    <w:pPr>
      <w:jc w:val="both"/>
    </w:pPr>
    <w:rPr>
      <w:rFonts w:ascii="Calibri" w:hAnsi="Calibri" w:eastAsia="宋体" w:cs="Times New Roman"/>
      <w:sz w:val="21"/>
      <w:szCs w:val="21"/>
      <w:lang w:val="en-US" w:eastAsia="zh-CN" w:bidi="ar-SA"/>
    </w:rPr>
  </w:style>
  <w:style w:type="paragraph" w:styleId="21">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2">
    <w:name w:val="Subtitle"/>
    <w:qFormat/>
    <w:uiPriority w:val="16"/>
    <w:pPr>
      <w:jc w:val="center"/>
    </w:pPr>
    <w:rPr>
      <w:rFonts w:ascii="Calibri" w:hAnsi="Calibri" w:eastAsia="宋体" w:cs="Times New Roman"/>
      <w:sz w:val="24"/>
      <w:szCs w:val="24"/>
      <w:lang w:val="en-US" w:eastAsia="zh-CN" w:bidi="ar-SA"/>
    </w:rPr>
  </w:style>
  <w:style w:type="paragraph" w:styleId="23">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4">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5">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6">
    <w:name w:val="Title"/>
    <w:qFormat/>
    <w:uiPriority w:val="6"/>
    <w:pPr>
      <w:jc w:val="center"/>
    </w:pPr>
    <w:rPr>
      <w:rFonts w:ascii="Calibri" w:hAnsi="Calibri" w:eastAsia="宋体" w:cs="Times New Roman"/>
      <w:b/>
      <w:sz w:val="32"/>
      <w:szCs w:val="32"/>
      <w:lang w:val="en-US" w:eastAsia="zh-CN" w:bidi="ar-SA"/>
    </w:rPr>
  </w:style>
  <w:style w:type="paragraph" w:styleId="27">
    <w:name w:val="Body Text First Indent 2"/>
    <w:basedOn w:val="13"/>
    <w:link w:val="47"/>
    <w:qFormat/>
    <w:uiPriority w:val="99"/>
    <w:pPr>
      <w:widowControl w:val="0"/>
      <w:adjustRightInd w:val="0"/>
      <w:spacing w:after="0" w:line="312" w:lineRule="atLeast"/>
      <w:ind w:left="1296" w:leftChars="0"/>
      <w:textAlignment w:val="baseline"/>
    </w:pPr>
    <w:rPr>
      <w:rFonts w:eastAsia="仿宋_GB2312"/>
      <w:kern w:val="21"/>
      <w:sz w:val="32"/>
      <w:szCs w:val="20"/>
    </w:r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paragraph" w:styleId="32">
    <w:name w:val="No Spacing"/>
    <w:qFormat/>
    <w:uiPriority w:val="5"/>
    <w:pPr>
      <w:jc w:val="both"/>
    </w:pPr>
    <w:rPr>
      <w:rFonts w:ascii="Calibri" w:hAnsi="Calibri" w:eastAsia="宋体" w:cs="Times New Roman"/>
      <w:sz w:val="21"/>
      <w:szCs w:val="21"/>
      <w:lang w:val="en-US" w:eastAsia="zh-CN" w:bidi="ar-SA"/>
    </w:rPr>
  </w:style>
  <w:style w:type="character" w:customStyle="1" w:styleId="33">
    <w:name w:val="不明显强调1"/>
    <w:qFormat/>
    <w:uiPriority w:val="17"/>
    <w:rPr>
      <w:i/>
      <w:color w:val="404040"/>
      <w:w w:val="100"/>
      <w:sz w:val="21"/>
      <w:szCs w:val="21"/>
      <w:shd w:val="clear" w:color="auto" w:fill="auto"/>
    </w:rPr>
  </w:style>
  <w:style w:type="character" w:customStyle="1" w:styleId="34">
    <w:name w:val="明显强调1"/>
    <w:qFormat/>
    <w:uiPriority w:val="19"/>
    <w:rPr>
      <w:i/>
      <w:color w:val="5B9BD5"/>
      <w:w w:val="100"/>
      <w:sz w:val="21"/>
      <w:szCs w:val="21"/>
      <w:shd w:val="clear" w:color="auto" w:fill="auto"/>
    </w:rPr>
  </w:style>
  <w:style w:type="paragraph" w:styleId="35">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6">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7">
    <w:name w:val="不明显参考1"/>
    <w:qFormat/>
    <w:uiPriority w:val="23"/>
    <w:rPr>
      <w:smallCaps/>
      <w:color w:val="5A5A5A"/>
      <w:w w:val="100"/>
      <w:sz w:val="21"/>
      <w:szCs w:val="21"/>
      <w:shd w:val="clear" w:color="auto" w:fill="auto"/>
    </w:rPr>
  </w:style>
  <w:style w:type="character" w:customStyle="1" w:styleId="38">
    <w:name w:val="明显参考1"/>
    <w:qFormat/>
    <w:uiPriority w:val="24"/>
    <w:rPr>
      <w:b/>
      <w:smallCaps/>
      <w:color w:val="5B9BD5"/>
      <w:w w:val="100"/>
      <w:sz w:val="21"/>
      <w:szCs w:val="21"/>
      <w:shd w:val="clear" w:color="auto" w:fill="auto"/>
    </w:rPr>
  </w:style>
  <w:style w:type="character" w:customStyle="1" w:styleId="39">
    <w:name w:val="书籍标题1"/>
    <w:qFormat/>
    <w:uiPriority w:val="25"/>
    <w:rPr>
      <w:b/>
      <w:i/>
      <w:w w:val="100"/>
      <w:sz w:val="21"/>
      <w:szCs w:val="21"/>
      <w:shd w:val="clear" w:color="auto" w:fill="auto"/>
    </w:rPr>
  </w:style>
  <w:style w:type="paragraph" w:styleId="40">
    <w:name w:val="List Paragraph"/>
    <w:qFormat/>
    <w:uiPriority w:val="26"/>
    <w:pPr>
      <w:ind w:left="850"/>
      <w:jc w:val="both"/>
    </w:pPr>
    <w:rPr>
      <w:rFonts w:ascii="Calibri" w:hAnsi="Calibri" w:eastAsia="宋体" w:cs="Times New Roman"/>
      <w:sz w:val="21"/>
      <w:szCs w:val="21"/>
      <w:lang w:val="en-US" w:eastAsia="zh-CN" w:bidi="ar-SA"/>
    </w:rPr>
  </w:style>
  <w:style w:type="paragraph" w:customStyle="1" w:styleId="41">
    <w:name w:val="TOC 标题1"/>
    <w:unhideWhenUsed/>
    <w:qFormat/>
    <w:uiPriority w:val="27"/>
    <w:rPr>
      <w:rFonts w:ascii="Calibri" w:hAnsi="Calibri" w:eastAsia="宋体" w:cs="Times New Roman"/>
      <w:color w:val="2E74B5"/>
      <w:sz w:val="32"/>
      <w:szCs w:val="32"/>
      <w:lang w:val="en-US" w:eastAsia="zh-CN" w:bidi="ar-SA"/>
    </w:rPr>
  </w:style>
  <w:style w:type="paragraph" w:customStyle="1" w:styleId="42">
    <w:name w:val="列出段落11"/>
    <w:basedOn w:val="1"/>
    <w:qFormat/>
    <w:uiPriority w:val="0"/>
    <w:pPr>
      <w:ind w:firstLine="420"/>
    </w:pPr>
  </w:style>
  <w:style w:type="paragraph" w:customStyle="1" w:styleId="43">
    <w:name w:val="reader-word-layer"/>
    <w:basedOn w:val="1"/>
    <w:qFormat/>
    <w:uiPriority w:val="0"/>
    <w:rPr>
      <w:rFonts w:ascii="宋体" w:hAnsi="宋体" w:eastAsia="宋体"/>
      <w:sz w:val="24"/>
      <w:szCs w:val="24"/>
    </w:rPr>
  </w:style>
  <w:style w:type="paragraph" w:customStyle="1" w:styleId="44">
    <w:name w:val="列出段落1"/>
    <w:basedOn w:val="1"/>
    <w:qFormat/>
    <w:uiPriority w:val="34"/>
    <w:pPr>
      <w:widowControl w:val="0"/>
      <w:ind w:firstLine="420" w:firstLineChars="200"/>
    </w:pPr>
    <w:rPr>
      <w:rFonts w:eastAsia="宋体"/>
      <w:color w:val="000000"/>
      <w:szCs w:val="24"/>
    </w:rPr>
  </w:style>
  <w:style w:type="character" w:customStyle="1" w:styleId="45">
    <w:name w:val="批注文字 Char"/>
    <w:basedOn w:val="29"/>
    <w:link w:val="12"/>
    <w:uiPriority w:val="0"/>
    <w:rPr>
      <w:rFonts w:ascii="Times New Roman" w:hAnsi="Times New Roman"/>
      <w:color w:val="000000"/>
      <w:sz w:val="21"/>
      <w:szCs w:val="24"/>
    </w:rPr>
  </w:style>
  <w:style w:type="character" w:customStyle="1" w:styleId="46">
    <w:name w:val="正文文本缩进 Char"/>
    <w:basedOn w:val="29"/>
    <w:link w:val="13"/>
    <w:semiHidden/>
    <w:qFormat/>
    <w:uiPriority w:val="99"/>
    <w:rPr>
      <w:rFonts w:ascii="Times New Roman" w:hAnsi="Times New Roman" w:eastAsia="Times New Roman"/>
      <w:sz w:val="21"/>
      <w:szCs w:val="21"/>
    </w:rPr>
  </w:style>
  <w:style w:type="character" w:customStyle="1" w:styleId="47">
    <w:name w:val="正文首行缩进 2 Char"/>
    <w:basedOn w:val="46"/>
    <w:link w:val="27"/>
    <w:uiPriority w:val="99"/>
    <w:rPr>
      <w:rFonts w:ascii="Times New Roman" w:hAnsi="Times New Roman" w:eastAsia="仿宋_GB2312"/>
      <w:kern w:val="21"/>
      <w:sz w:val="32"/>
      <w:szCs w:val="21"/>
    </w:rPr>
  </w:style>
  <w:style w:type="character" w:customStyle="1" w:styleId="48">
    <w:name w:val="批注框文本 Char"/>
    <w:basedOn w:val="29"/>
    <w:link w:val="17"/>
    <w:semiHidden/>
    <w:uiPriority w:val="99"/>
    <w:rPr>
      <w:rFonts w:ascii="Times New Roman" w:hAnsi="Times New Roman" w:eastAsia="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4031</Words>
  <Characters>4368</Characters>
  <Lines>33</Lines>
  <Paragraphs>9</Paragraphs>
  <TotalTime>1062</TotalTime>
  <ScaleCrop>false</ScaleCrop>
  <LinksUpToDate>false</LinksUpToDate>
  <CharactersWithSpaces>4578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2022-05-09T08:18:00Z</dcterms:created>
  <dc:creator>Administrator</dc:creator>
  <cp:lastModifiedBy>DELL</cp:lastModifiedBy>
  <cp:lastPrinted>2023-03-17T08:36:25Z</cp:lastPrinted>
  <dcterms:modified xsi:type="dcterms:W3CDTF">2023-03-17T08:38:00Z</dcterms:modified>
  <dc:title>镇江海纳川物流产业发展有限责任公司</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4884D31FFDAF4C5FB8059A3EE2DD8611</vt:lpwstr>
  </property>
</Properties>
</file>