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2023年度卸船机大修</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1"/>
          <w:sz w:val="32"/>
          <w:szCs w:val="32"/>
          <w:u w:val="single"/>
        </w:rPr>
        <w:t>卸船机停机之日起</w:t>
      </w:r>
      <w:r>
        <w:rPr>
          <w:rFonts w:ascii="方正仿宋简体" w:hAnsi="仿宋_GB2312" w:eastAsia="方正仿宋简体" w:cs="仿宋_GB2312"/>
          <w:kern w:val="1"/>
          <w:sz w:val="32"/>
          <w:szCs w:val="32"/>
          <w:u w:val="single"/>
        </w:rPr>
        <w:t>20</w:t>
      </w:r>
      <w:r>
        <w:rPr>
          <w:rFonts w:hint="eastAsia" w:ascii="方正仿宋简体" w:hAnsi="仿宋_GB2312" w:eastAsia="方正仿宋简体" w:cs="仿宋_GB2312"/>
          <w:kern w:val="1"/>
          <w:sz w:val="32"/>
          <w:szCs w:val="32"/>
          <w:u w:val="single"/>
        </w:rPr>
        <w:t>日内（初定202</w:t>
      </w:r>
      <w:r>
        <w:rPr>
          <w:rFonts w:ascii="方正仿宋简体" w:hAnsi="仿宋_GB2312" w:eastAsia="方正仿宋简体" w:cs="仿宋_GB2312"/>
          <w:kern w:val="1"/>
          <w:sz w:val="32"/>
          <w:szCs w:val="32"/>
          <w:u w:val="single"/>
        </w:rPr>
        <w:t>3</w:t>
      </w:r>
      <w:r>
        <w:rPr>
          <w:rFonts w:hint="eastAsia" w:ascii="方正仿宋简体" w:hAnsi="仿宋_GB2312" w:eastAsia="方正仿宋简体" w:cs="仿宋_GB2312"/>
          <w:kern w:val="1"/>
          <w:sz w:val="32"/>
          <w:szCs w:val="32"/>
          <w:u w:val="single"/>
        </w:rPr>
        <w:t>年4月</w:t>
      </w:r>
      <w:r>
        <w:rPr>
          <w:rFonts w:ascii="方正仿宋简体" w:hAnsi="仿宋_GB2312" w:eastAsia="方正仿宋简体" w:cs="仿宋_GB2312"/>
          <w:kern w:val="1"/>
          <w:sz w:val="32"/>
          <w:szCs w:val="32"/>
          <w:u w:val="single"/>
        </w:rPr>
        <w:t>30</w:t>
      </w:r>
      <w:r>
        <w:rPr>
          <w:rFonts w:hint="eastAsia" w:ascii="方正仿宋简体" w:hAnsi="仿宋_GB2312" w:eastAsia="方正仿宋简体" w:cs="仿宋_GB2312"/>
          <w:kern w:val="1"/>
          <w:sz w:val="32"/>
          <w:szCs w:val="32"/>
          <w:u w:val="single"/>
        </w:rPr>
        <w:t>日停机）</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2023年4月25日上午10点整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2023年4月25日上午10点整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adjustRightInd w:val="0"/>
        <w:snapToGrid w:val="0"/>
        <w:spacing w:line="600" w:lineRule="exact"/>
        <w:ind w:firstLine="800" w:firstLineChars="250"/>
        <w:rPr>
          <w:rFonts w:eastAsia="仿宋_GB2312"/>
        </w:rPr>
      </w:pPr>
      <w:r>
        <w:rPr>
          <w:rFonts w:hint="eastAsia" w:ascii="方正仿宋简体" w:hAnsi="方正仿宋简体" w:eastAsia="方正仿宋简体" w:cs="方正仿宋简体"/>
          <w:sz w:val="32"/>
          <w:szCs w:val="32"/>
        </w:rPr>
        <w:t>卸船机</w:t>
      </w:r>
      <w:r>
        <w:rPr>
          <w:rFonts w:ascii="方正仿宋简体" w:hAnsi="方正仿宋简体" w:eastAsia="方正仿宋简体" w:cs="方正仿宋简体"/>
          <w:sz w:val="32"/>
          <w:szCs w:val="32"/>
        </w:rPr>
        <w:t>大修</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工作量清单</w:t>
      </w:r>
      <w:r>
        <w:rPr>
          <w:rFonts w:ascii="方正仿宋简体" w:hAnsi="仿宋_GB2312" w:eastAsia="方正仿宋简体" w:cs="仿宋_GB2312"/>
          <w:color w:val="FF0000"/>
          <w:sz w:val="32"/>
          <w:szCs w:val="32"/>
        </w:rPr>
        <w:t>见</w:t>
      </w:r>
      <w:r>
        <w:rPr>
          <w:rFonts w:hint="eastAsia" w:ascii="方正仿宋简体" w:hAnsi="仿宋_GB2312" w:eastAsia="方正仿宋简体" w:cs="仿宋_GB2312"/>
          <w:color w:val="FF0000"/>
          <w:sz w:val="32"/>
          <w:szCs w:val="32"/>
        </w:rPr>
        <w:t>报价函</w:t>
      </w:r>
    </w:p>
    <w:p>
      <w:pPr>
        <w:spacing w:line="360" w:lineRule="auto"/>
        <w:ind w:firstLine="640" w:firstLineChars="200"/>
        <w:jc w:val="left"/>
        <w:rPr>
          <w:rFonts w:ascii="方正仿宋简体" w:hAnsi="仿宋_GB2312" w:eastAsia="方正仿宋简体" w:cs="仿宋_GB2312"/>
          <w:color w:val="000000" w:themeColor="text1"/>
          <w:sz w:val="32"/>
          <w:szCs w:val="32"/>
          <w14:textFill>
            <w14:solidFill>
              <w14:schemeClr w14:val="tx1"/>
            </w14:solidFill>
          </w14:textFill>
        </w:rPr>
      </w:pPr>
      <w:r>
        <w:rPr>
          <w:rFonts w:hint="eastAsia" w:ascii="方正仿宋简体" w:hAnsi="仿宋_GB2312" w:eastAsia="方正仿宋简体" w:cs="仿宋_GB2312"/>
          <w:sz w:val="32"/>
          <w:szCs w:val="32"/>
        </w:rPr>
        <w:t>2</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 xml:space="preserve"> 报价函中第（</w:t>
      </w:r>
      <w:r>
        <w:rPr>
          <w:rFonts w:ascii="方正仿宋简体" w:hAnsi="仿宋_GB2312" w:eastAsia="方正仿宋简体" w:cs="仿宋_GB2312"/>
          <w:sz w:val="32"/>
          <w:szCs w:val="32"/>
        </w:rPr>
        <w:t>1-16</w:t>
      </w:r>
      <w:r>
        <w:rPr>
          <w:rFonts w:hint="eastAsia" w:ascii="方正仿宋简体" w:hAnsi="仿宋_GB2312" w:eastAsia="方正仿宋简体" w:cs="仿宋_GB2312"/>
          <w:sz w:val="32"/>
          <w:szCs w:val="32"/>
        </w:rPr>
        <w:t>）项</w:t>
      </w:r>
      <w:r>
        <w:rPr>
          <w:rFonts w:ascii="方正仿宋简体" w:hAnsi="仿宋_GB2312" w:eastAsia="方正仿宋简体" w:cs="仿宋_GB2312"/>
          <w:sz w:val="32"/>
          <w:szCs w:val="32"/>
        </w:rPr>
        <w:t>主</w:t>
      </w:r>
      <w:r>
        <w:rPr>
          <w:rFonts w:hint="eastAsia" w:ascii="方正仿宋简体" w:hAnsi="仿宋_GB2312" w:eastAsia="方正仿宋简体" w:cs="仿宋_GB2312"/>
          <w:sz w:val="32"/>
          <w:szCs w:val="32"/>
        </w:rPr>
        <w:t>材招标方</w:t>
      </w:r>
      <w:r>
        <w:rPr>
          <w:rFonts w:ascii="方正仿宋简体" w:hAnsi="仿宋_GB2312" w:eastAsia="方正仿宋简体" w:cs="仿宋_GB2312"/>
          <w:sz w:val="32"/>
          <w:szCs w:val="32"/>
        </w:rPr>
        <w:t>提供，辅材</w:t>
      </w:r>
      <w:r>
        <w:rPr>
          <w:rFonts w:hint="eastAsia" w:ascii="方正仿宋简体" w:hAnsi="仿宋_GB2312" w:eastAsia="方正仿宋简体" w:cs="仿宋_GB2312"/>
          <w:sz w:val="32"/>
          <w:szCs w:val="32"/>
        </w:rPr>
        <w:t>和</w:t>
      </w:r>
      <w:r>
        <w:rPr>
          <w:rFonts w:ascii="方正仿宋简体" w:hAnsi="仿宋_GB2312" w:eastAsia="方正仿宋简体" w:cs="仿宋_GB2312"/>
          <w:sz w:val="32"/>
          <w:szCs w:val="32"/>
        </w:rPr>
        <w:t>工器具由中标方提供</w:t>
      </w:r>
      <w:r>
        <w:rPr>
          <w:rFonts w:hint="eastAsia" w:ascii="方正仿宋简体" w:hAnsi="仿宋_GB2312" w:eastAsia="方正仿宋简体" w:cs="仿宋_GB2312"/>
          <w:sz w:val="32"/>
          <w:szCs w:val="32"/>
        </w:rPr>
        <w:t>；第17项所有材料均由中标方提供；第18项动载称重模块、称重显示仪、蜂鸣器、信号电缆</w:t>
      </w:r>
      <w:r>
        <w:rPr>
          <w:rFonts w:hint="eastAsia" w:ascii="方正仿宋简体" w:hAnsi="仿宋_GB2312" w:eastAsia="方正仿宋简体" w:cs="仿宋_GB2312"/>
          <w:color w:val="000000" w:themeColor="text1"/>
          <w:sz w:val="32"/>
          <w:szCs w:val="32"/>
          <w14:textFill>
            <w14:solidFill>
              <w14:schemeClr w14:val="tx1"/>
            </w14:solidFill>
          </w14:textFill>
        </w:rPr>
        <w:t>、模块支座等改造材料均由中标方提供（详见报价函）。</w:t>
      </w:r>
    </w:p>
    <w:p>
      <w:pPr>
        <w:spacing w:line="360" w:lineRule="auto"/>
        <w:ind w:firstLine="640" w:firstLineChars="200"/>
        <w:jc w:val="left"/>
        <w:rPr>
          <w:rFonts w:ascii="方正仿宋简体" w:hAnsi="仿宋_GB2312" w:eastAsia="方正仿宋简体" w:cs="仿宋_GB2312"/>
          <w:color w:val="000000" w:themeColor="text1"/>
          <w:sz w:val="32"/>
          <w:szCs w:val="32"/>
          <w14:textFill>
            <w14:solidFill>
              <w14:schemeClr w14:val="tx1"/>
            </w14:solidFill>
          </w14:textFill>
        </w:rPr>
      </w:pPr>
      <w:r>
        <w:rPr>
          <w:rFonts w:hint="eastAsia" w:ascii="方正仿宋简体" w:hAnsi="仿宋_GB2312" w:eastAsia="方正仿宋简体" w:cs="仿宋_GB2312"/>
          <w:color w:val="000000" w:themeColor="text1"/>
          <w:sz w:val="32"/>
          <w:szCs w:val="32"/>
          <w14:textFill>
            <w14:solidFill>
              <w14:schemeClr w14:val="tx1"/>
            </w14:solidFill>
          </w14:textFill>
        </w:rPr>
        <w:t>2．检修所需要的工装、脚手架等由中标方负责，费用含在投标总价中，施工中如需吊车由招标方提供。</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3．施工现场施工人员的安全防护由中标方负责，安全服从招标方的的管理。</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4．验收：招标方相关</w:t>
      </w:r>
      <w:r>
        <w:rPr>
          <w:rFonts w:ascii="方正仿宋简体" w:hAnsi="仿宋_GB2312" w:eastAsia="方正仿宋简体" w:cs="仿宋_GB2312"/>
          <w:sz w:val="32"/>
          <w:szCs w:val="32"/>
        </w:rPr>
        <w:t>部门</w:t>
      </w:r>
      <w:r>
        <w:rPr>
          <w:rFonts w:hint="eastAsia" w:ascii="方正仿宋简体" w:hAnsi="仿宋_GB2312" w:eastAsia="方正仿宋简体" w:cs="仿宋_GB2312"/>
          <w:sz w:val="32"/>
          <w:szCs w:val="32"/>
        </w:rPr>
        <w:t>及中标方根据工作量清单内容共同验收。验收标准：GB6067-2010《起重机械安全规程》、GB 50254-2014《电气装置安装工程施工及验收规范》、JTJ244-2005《港口设备安装工程质量检验标准》。</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 如有增补，中标方需获得招标方书面同意后，方可组织力量进行维修，费用按审计价结算。</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6</w:t>
      </w:r>
      <w:r>
        <w:rPr>
          <w:rFonts w:hint="eastAsia" w:ascii="方正仿宋简体" w:hAnsi="仿宋_GB2312" w:eastAsia="方正仿宋简体" w:cs="仿宋_GB2312"/>
          <w:sz w:val="32"/>
          <w:szCs w:val="32"/>
        </w:rPr>
        <w:t>．中标单位需根据大修工作量及工期要求合理安排施工力量，同时需提供施工人员详细清单，并编制施工节点图。</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7</w:t>
      </w:r>
      <w:r>
        <w:rPr>
          <w:rFonts w:hint="eastAsia" w:ascii="方正仿宋简体" w:hAnsi="仿宋_GB2312" w:eastAsia="方正仿宋简体" w:cs="仿宋_GB2312"/>
          <w:sz w:val="32"/>
          <w:szCs w:val="32"/>
        </w:rPr>
        <w:t>．最终结算以审计部门依法作出的审计结果作为工程结算、竣工决算的依据。</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营业执照（含</w:t>
      </w:r>
      <w:r>
        <w:rPr>
          <w:rFonts w:ascii="方正仿宋简体" w:hAnsi="仿宋_GB2312" w:eastAsia="方正仿宋简体" w:cs="仿宋_GB2312"/>
          <w:sz w:val="32"/>
          <w:szCs w:val="32"/>
        </w:rPr>
        <w:t>起重机械</w:t>
      </w:r>
      <w:r>
        <w:rPr>
          <w:rFonts w:hint="eastAsia" w:ascii="方正仿宋简体" w:hAnsi="仿宋_GB2312" w:eastAsia="方正仿宋简体" w:cs="仿宋_GB2312"/>
          <w:sz w:val="32"/>
          <w:szCs w:val="32"/>
        </w:rPr>
        <w:t>制造</w:t>
      </w:r>
      <w:r>
        <w:rPr>
          <w:rFonts w:ascii="方正仿宋简体" w:hAnsi="仿宋_GB2312" w:eastAsia="方正仿宋简体" w:cs="仿宋_GB2312"/>
          <w:sz w:val="32"/>
          <w:szCs w:val="32"/>
        </w:rPr>
        <w:t>、安装</w:t>
      </w:r>
      <w:r>
        <w:rPr>
          <w:rFonts w:hint="eastAsia" w:ascii="方正仿宋简体" w:hAnsi="仿宋_GB2312" w:eastAsia="方正仿宋简体" w:cs="仿宋_GB2312"/>
          <w:sz w:val="32"/>
          <w:szCs w:val="32"/>
        </w:rPr>
        <w:t>）；特种设备安装改造维修许可证(起重机械)B级及以上；（以上资格证明证件可提供复印件，但需加盖公章）</w:t>
      </w:r>
      <w:r>
        <w:rPr>
          <w:rFonts w:hint="eastAsia" w:ascii="方正仿宋简体" w:hAnsi="方正仿宋简体" w:eastAsia="方正仿宋简体" w:cs="方正仿宋简体"/>
          <w:sz w:val="32"/>
          <w:szCs w:val="32"/>
        </w:rPr>
        <w:t>确定中标后，在签订合同</w:t>
      </w:r>
      <w:r>
        <w:rPr>
          <w:rFonts w:hint="eastAsia" w:ascii="方正仿宋简体" w:hAnsi="方正仿宋简体" w:eastAsia="方正仿宋简体" w:cs="方正仿宋简体"/>
          <w:color w:val="000000" w:themeColor="text1"/>
          <w:sz w:val="32"/>
          <w:szCs w:val="32"/>
          <w14:textFill>
            <w14:solidFill>
              <w14:schemeClr w14:val="tx1"/>
            </w14:solidFill>
          </w14:textFill>
        </w:rPr>
        <w:t>前，中</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标人需提供</w:t>
      </w:r>
      <w:r>
        <w:rPr>
          <w:rFonts w:hint="eastAsia" w:ascii="仿宋" w:hAnsi="仿宋" w:eastAsia="仿宋" w:cs="仿宋"/>
          <w:color w:val="000000" w:themeColor="text1"/>
          <w:sz w:val="30"/>
          <w:szCs w:val="30"/>
          <w14:textFill>
            <w14:solidFill>
              <w14:schemeClr w14:val="tx1"/>
            </w14:solidFill>
          </w14:textFill>
        </w:rPr>
        <w:t>一般纳税人证明材料、</w:t>
      </w:r>
      <w:r>
        <w:rPr>
          <w:rFonts w:hint="eastAsia" w:ascii="方正仿宋简体" w:eastAsia="方正仿宋简体" w:cs="仿宋_GB2312"/>
          <w:color w:val="000000" w:themeColor="text1"/>
          <w:sz w:val="32"/>
          <w:szCs w:val="32"/>
          <w14:textFill>
            <w14:solidFill>
              <w14:schemeClr w14:val="tx1"/>
            </w14:solidFill>
          </w14:textFill>
        </w:rPr>
        <w:t>负责现场安全文明施工的1名专职安全员的安全员证书（安全员证书可提供复印件，但需加盖公章)。</w:t>
      </w: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2.施工人员需经招标单位安全培训并考试合格后，才能赴属地办理作业票证进行作业。</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color w:val="FF0000"/>
          <w:kern w:val="1"/>
          <w:sz w:val="32"/>
          <w:szCs w:val="32"/>
        </w:rPr>
        <w:t>不接受被列入失信被执行人、重大违法案件当事人投标</w:t>
      </w:r>
      <w:r>
        <w:rPr>
          <w:rFonts w:hint="eastAsia" w:ascii="方正仿宋简体" w:hAnsi="方正仿宋简体" w:eastAsia="方正仿宋简体" w:cs="方正仿宋简体"/>
          <w:kern w:val="1"/>
          <w:sz w:val="32"/>
          <w:szCs w:val="32"/>
        </w:rPr>
        <w:t>。</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w:t>
      </w:r>
      <w:r>
        <w:rPr>
          <w:rFonts w:ascii="方正仿宋简体" w:hAnsi="仿宋_GB2312" w:eastAsia="方正仿宋简体" w:cs="仿宋_GB2312"/>
          <w:sz w:val="32"/>
          <w:szCs w:val="32"/>
        </w:rPr>
        <w:t>组织报名投标的</w:t>
      </w:r>
      <w:r>
        <w:rPr>
          <w:rFonts w:hint="eastAsia" w:ascii="方正仿宋简体" w:hAnsi="仿宋_GB2312" w:eastAsia="方正仿宋简体" w:cs="仿宋_GB2312"/>
          <w:sz w:val="32"/>
          <w:szCs w:val="32"/>
        </w:rPr>
        <w:t>投标人</w:t>
      </w:r>
      <w:r>
        <w:rPr>
          <w:rFonts w:ascii="方正仿宋简体" w:hAnsi="仿宋_GB2312" w:eastAsia="方正仿宋简体" w:cs="仿宋_GB2312"/>
          <w:sz w:val="32"/>
          <w:szCs w:val="32"/>
        </w:rPr>
        <w:t>在</w:t>
      </w:r>
      <w:r>
        <w:rPr>
          <w:rFonts w:hint="eastAsia" w:ascii="方正仿宋简体" w:hAnsi="仿宋_GB2312" w:eastAsia="方正仿宋简体" w:cs="仿宋_GB2312"/>
          <w:sz w:val="32"/>
          <w:szCs w:val="32"/>
        </w:rPr>
        <w:t>规定的时间、地点踏勘项目现场。</w:t>
      </w:r>
      <w:r>
        <w:rPr>
          <w:rFonts w:hint="eastAsia" w:ascii="方正仿宋简体" w:hAnsi="仿宋_GB2312" w:eastAsia="方正仿宋简体" w:cs="仿宋_GB2312"/>
          <w:color w:val="FF0000"/>
          <w:sz w:val="32"/>
          <w:szCs w:val="32"/>
        </w:rPr>
        <w:t>（2023年4月19日</w:t>
      </w:r>
      <w:r>
        <w:rPr>
          <w:rFonts w:ascii="方正仿宋简体" w:hAnsi="仿宋_GB2312" w:eastAsia="方正仿宋简体" w:cs="仿宋_GB2312"/>
          <w:color w:val="FF0000"/>
          <w:sz w:val="32"/>
          <w:szCs w:val="32"/>
        </w:rPr>
        <w:t>，上午</w:t>
      </w:r>
      <w:r>
        <w:rPr>
          <w:rFonts w:hint="eastAsia" w:ascii="方正仿宋简体" w:hAnsi="仿宋_GB2312" w:eastAsia="方正仿宋简体" w:cs="仿宋_GB2312"/>
          <w:color w:val="FF0000"/>
          <w:sz w:val="32"/>
          <w:szCs w:val="32"/>
        </w:rPr>
        <w:t>10点</w:t>
      </w:r>
      <w:r>
        <w:rPr>
          <w:rFonts w:ascii="方正仿宋简体" w:hAnsi="仿宋_GB2312" w:eastAsia="方正仿宋简体" w:cs="仿宋_GB2312"/>
          <w:color w:val="FF0000"/>
          <w:sz w:val="32"/>
          <w:szCs w:val="32"/>
        </w:rPr>
        <w:t>煤炭</w:t>
      </w:r>
      <w:r>
        <w:rPr>
          <w:rFonts w:hint="eastAsia" w:ascii="方正仿宋简体" w:hAnsi="仿宋_GB2312" w:eastAsia="方正仿宋简体" w:cs="仿宋_GB2312"/>
          <w:color w:val="FF0000"/>
          <w:sz w:val="32"/>
          <w:szCs w:val="32"/>
        </w:rPr>
        <w:t>码头</w:t>
      </w:r>
      <w:r>
        <w:rPr>
          <w:rFonts w:ascii="方正仿宋简体" w:hAnsi="仿宋_GB2312" w:eastAsia="方正仿宋简体" w:cs="仿宋_GB2312"/>
          <w:color w:val="FF0000"/>
          <w:sz w:val="32"/>
          <w:szCs w:val="32"/>
        </w:rPr>
        <w:t>卸船机现场</w:t>
      </w:r>
      <w:r>
        <w:rPr>
          <w:rFonts w:hint="eastAsia" w:ascii="方正仿宋简体" w:hAnsi="仿宋_GB2312" w:eastAsia="方正仿宋简体" w:cs="仿宋_GB2312"/>
          <w:color w:val="FF0000"/>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．招标人在踏勘现场中介绍的工程场地和相关的周边环境情况，供投标人在编制投标文件时参考，招标人不对投标人据此作出的判断和决策负责。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w:t>
      </w:r>
      <w:r>
        <w:rPr>
          <w:rFonts w:ascii="方正仿宋简体" w:hAnsi="仿宋_GB2312" w:eastAsia="方正仿宋简体" w:cs="仿宋_GB2312"/>
          <w:color w:val="FF0000"/>
          <w:sz w:val="32"/>
          <w:szCs w:val="32"/>
        </w:rPr>
        <w:t>不参加现场</w:t>
      </w:r>
      <w:r>
        <w:rPr>
          <w:rFonts w:hint="eastAsia" w:ascii="方正仿宋简体" w:hAnsi="仿宋_GB2312" w:eastAsia="方正仿宋简体" w:cs="仿宋_GB2312"/>
          <w:color w:val="FF0000"/>
          <w:sz w:val="32"/>
          <w:szCs w:val="32"/>
        </w:rPr>
        <w:t>踏勘的</w:t>
      </w:r>
      <w:r>
        <w:rPr>
          <w:rFonts w:ascii="方正仿宋简体" w:hAnsi="仿宋_GB2312" w:eastAsia="方正仿宋简体" w:cs="仿宋_GB2312"/>
          <w:color w:val="FF0000"/>
          <w:sz w:val="32"/>
          <w:szCs w:val="32"/>
        </w:rPr>
        <w:t>投标人</w:t>
      </w:r>
      <w:r>
        <w:rPr>
          <w:rFonts w:hint="eastAsia" w:ascii="方正仿宋简体" w:hAnsi="仿宋_GB2312" w:eastAsia="方正仿宋简体" w:cs="仿宋_GB2312"/>
          <w:color w:val="FF0000"/>
          <w:sz w:val="32"/>
          <w:szCs w:val="32"/>
        </w:rPr>
        <w:t>，</w:t>
      </w:r>
      <w:r>
        <w:rPr>
          <w:rFonts w:ascii="方正仿宋简体" w:hAnsi="仿宋_GB2312" w:eastAsia="方正仿宋简体" w:cs="仿宋_GB2312"/>
          <w:color w:val="FF0000"/>
          <w:sz w:val="32"/>
          <w:szCs w:val="32"/>
        </w:rPr>
        <w:t>其投标文件将</w:t>
      </w:r>
      <w:r>
        <w:rPr>
          <w:rFonts w:hint="eastAsia" w:ascii="方正仿宋简体" w:hAnsi="仿宋_GB2312" w:eastAsia="方正仿宋简体" w:cs="仿宋_GB2312"/>
          <w:color w:val="FF0000"/>
          <w:sz w:val="32"/>
          <w:szCs w:val="32"/>
        </w:rPr>
        <w:t>不</w:t>
      </w:r>
      <w:r>
        <w:rPr>
          <w:rFonts w:ascii="方正仿宋简体" w:hAnsi="仿宋_GB2312" w:eastAsia="方正仿宋简体" w:cs="仿宋_GB2312"/>
          <w:color w:val="FF0000"/>
          <w:sz w:val="32"/>
          <w:szCs w:val="32"/>
        </w:rPr>
        <w:t>被接受</w:t>
      </w:r>
      <w:r>
        <w:rPr>
          <w:rFonts w:hint="eastAsia" w:ascii="方正仿宋简体" w:hAnsi="仿宋_GB2312" w:eastAsia="方正仿宋简体" w:cs="仿宋_GB2312"/>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踏勘后对投标人所提问题的澄清（如果有），招标人</w:t>
      </w:r>
      <w:r>
        <w:rPr>
          <w:rFonts w:ascii="方正仿宋简体" w:hAnsi="仿宋_GB2312" w:eastAsia="方正仿宋简体" w:cs="仿宋_GB2312"/>
          <w:sz w:val="32"/>
          <w:szCs w:val="32"/>
        </w:rPr>
        <w:t>应在投标截止时</w:t>
      </w:r>
      <w:r>
        <w:rPr>
          <w:rFonts w:hint="eastAsia" w:ascii="方正仿宋简体" w:hAnsi="仿宋_GB2312" w:eastAsia="方正仿宋简体" w:cs="仿宋_GB2312"/>
          <w:sz w:val="32"/>
          <w:szCs w:val="32"/>
        </w:rPr>
        <w:t>间</w:t>
      </w:r>
      <w:r>
        <w:rPr>
          <w:rFonts w:ascii="方正仿宋简体" w:hAnsi="仿宋_GB2312" w:eastAsia="方正仿宋简体" w:cs="仿宋_GB2312"/>
          <w:sz w:val="32"/>
          <w:szCs w:val="32"/>
        </w:rPr>
        <w:t>前</w:t>
      </w:r>
      <w:r>
        <w:rPr>
          <w:rFonts w:hint="eastAsia" w:ascii="方正仿宋简体" w:hAnsi="仿宋_GB2312" w:eastAsia="方正仿宋简体" w:cs="仿宋_GB2312"/>
          <w:sz w:val="32"/>
          <w:szCs w:val="32"/>
        </w:rPr>
        <w:t xml:space="preserve">3天以书面形式通知所有报名的投标人。该澄清内容为招标文件的组成部分。 </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仿宋_GB2312" w:eastAsia="方正仿宋简体" w:cs="仿宋_GB2312"/>
          <w:kern w:val="1"/>
          <w:sz w:val="32"/>
          <w:szCs w:val="32"/>
          <w:u w:val="single"/>
        </w:rPr>
        <w:t>大修项目完成且验收合格后根据招标方提供的审计认定单价格开具增值税专用发票后30日内支付95%；剩余5%为质保金，卸船机使用一年且无质量问题后支付，付款方式为承兑 。</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Pr>
        <w:pStyle w:val="5"/>
      </w:pPr>
    </w:p>
    <w:p>
      <w:pPr>
        <w:pStyle w:val="3"/>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pPr>
      <w:bookmarkStart w:id="0" w:name="_GoBack"/>
      <w:bookmarkEnd w:id="0"/>
    </w:p>
    <w:p>
      <w:pPr>
        <w:pStyle w:val="2"/>
        <w:rPr>
          <w:rFonts w:ascii="方正小标宋简体" w:hAnsi="方正小标宋简体" w:eastAsia="方正小标宋简体" w:cs="方正小标宋简体"/>
          <w:szCs w:val="44"/>
        </w:rPr>
      </w:pPr>
    </w:p>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10140" w:type="dxa"/>
        <w:tblInd w:w="-839" w:type="dxa"/>
        <w:tblLayout w:type="fixed"/>
        <w:tblCellMar>
          <w:top w:w="0" w:type="dxa"/>
          <w:left w:w="0" w:type="dxa"/>
          <w:bottom w:w="0" w:type="dxa"/>
          <w:right w:w="0" w:type="dxa"/>
        </w:tblCellMar>
      </w:tblPr>
      <w:tblGrid>
        <w:gridCol w:w="870"/>
        <w:gridCol w:w="1395"/>
        <w:gridCol w:w="4155"/>
        <w:gridCol w:w="810"/>
        <w:gridCol w:w="765"/>
        <w:gridCol w:w="919"/>
        <w:gridCol w:w="1226"/>
      </w:tblGrid>
      <w:tr>
        <w:tblPrEx>
          <w:tblCellMar>
            <w:top w:w="0" w:type="dxa"/>
            <w:left w:w="0" w:type="dxa"/>
            <w:bottom w:w="0" w:type="dxa"/>
            <w:right w:w="0" w:type="dxa"/>
          </w:tblCellMar>
        </w:tblPrEx>
        <w:trPr>
          <w:trHeight w:val="340" w:hRule="atLeast"/>
        </w:trPr>
        <w:tc>
          <w:tcPr>
            <w:tcW w:w="870"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tcPr>
          <w:p>
            <w:pPr>
              <w:widowControl/>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序号</w:t>
            </w:r>
          </w:p>
        </w:tc>
        <w:tc>
          <w:tcPr>
            <w:tcW w:w="1395"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项目</w:t>
            </w:r>
          </w:p>
        </w:tc>
        <w:tc>
          <w:tcPr>
            <w:tcW w:w="4155"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具体内容</w:t>
            </w:r>
          </w:p>
        </w:tc>
        <w:tc>
          <w:tcPr>
            <w:tcW w:w="810"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数量</w:t>
            </w:r>
          </w:p>
        </w:tc>
        <w:tc>
          <w:tcPr>
            <w:tcW w:w="765"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单价</w:t>
            </w:r>
          </w:p>
        </w:tc>
        <w:tc>
          <w:tcPr>
            <w:tcW w:w="919"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合计</w:t>
            </w:r>
          </w:p>
        </w:tc>
        <w:tc>
          <w:tcPr>
            <w:tcW w:w="1226" w:type="dxa"/>
            <w:tcBorders>
              <w:top w:val="single" w:color="auto" w:sz="8" w:space="0"/>
              <w:left w:val="nil"/>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备注</w:t>
            </w:r>
          </w:p>
        </w:tc>
      </w:tr>
      <w:tr>
        <w:tblPrEx>
          <w:tblCellMar>
            <w:top w:w="0" w:type="dxa"/>
            <w:left w:w="0" w:type="dxa"/>
            <w:bottom w:w="0" w:type="dxa"/>
            <w:right w:w="0" w:type="dxa"/>
          </w:tblCellMar>
        </w:tblPrEx>
        <w:trPr>
          <w:trHeight w:val="340" w:hRule="atLeast"/>
        </w:trPr>
        <w:tc>
          <w:tcPr>
            <w:tcW w:w="870" w:type="dxa"/>
            <w:vMerge w:val="restart"/>
            <w:tcBorders>
              <w:top w:val="nil"/>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w:t>
            </w:r>
          </w:p>
        </w:tc>
        <w:tc>
          <w:tcPr>
            <w:tcW w:w="1395"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四卷筒钢丝绳压辊</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四卷筒压辊支架重新加固紧固</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restart"/>
            <w:tcBorders>
              <w:top w:val="nil"/>
              <w:left w:val="nil"/>
              <w:right w:val="single" w:color="auto" w:sz="8" w:space="0"/>
            </w:tcBorders>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1-16项主材由招标方提供，辅材和工器具由中标方提供</w:t>
            </w: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四卷筒压辊更换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2</w:t>
            </w:r>
          </w:p>
        </w:tc>
        <w:tc>
          <w:tcPr>
            <w:tcW w:w="139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钢丝绳托辊更换</w:t>
            </w:r>
          </w:p>
        </w:tc>
        <w:tc>
          <w:tcPr>
            <w:tcW w:w="415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卸船机大梁平台钢丝绳托辊4个和机舱出口托辊4个更换</w:t>
            </w:r>
          </w:p>
        </w:tc>
        <w:tc>
          <w:tcPr>
            <w:tcW w:w="81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8个</w:t>
            </w:r>
          </w:p>
        </w:tc>
        <w:tc>
          <w:tcPr>
            <w:tcW w:w="76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3</w:t>
            </w:r>
          </w:p>
        </w:tc>
        <w:tc>
          <w:tcPr>
            <w:tcW w:w="1395"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料斗维修</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料斗南侧挡板加固焊接</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1处</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料斗维修焊接格栅网板</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1处</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料斗维修下料口挡板，侧板，门</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1处</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4</w:t>
            </w:r>
          </w:p>
        </w:tc>
        <w:tc>
          <w:tcPr>
            <w:tcW w:w="139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电缆整理</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机舱电线需要重新整理 废线拆除</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1批</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5</w:t>
            </w:r>
          </w:p>
        </w:tc>
        <w:tc>
          <w:tcPr>
            <w:tcW w:w="139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电机保养</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大车电机拆装</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6台</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6</w:t>
            </w:r>
          </w:p>
        </w:tc>
        <w:tc>
          <w:tcPr>
            <w:tcW w:w="1395"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接料板钢丝绳更换</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接料板电机钢丝绳压板更换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接料板钢丝绳更换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7</w:t>
            </w:r>
          </w:p>
        </w:tc>
        <w:tc>
          <w:tcPr>
            <w:tcW w:w="139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更换小车水平轮</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小车水平轮4个加工并更换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4个</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color w:val="FF0000"/>
                <w:szCs w:val="21"/>
              </w:rPr>
            </w:pPr>
          </w:p>
        </w:tc>
      </w:tr>
      <w:tr>
        <w:tblPrEx>
          <w:tblCellMar>
            <w:top w:w="0" w:type="dxa"/>
            <w:left w:w="0" w:type="dxa"/>
            <w:bottom w:w="0" w:type="dxa"/>
            <w:right w:w="0" w:type="dxa"/>
          </w:tblCellMar>
        </w:tblPrEx>
        <w:trPr>
          <w:trHeight w:val="340" w:hRule="atLeast"/>
        </w:trPr>
        <w:tc>
          <w:tcPr>
            <w:tcW w:w="870" w:type="dxa"/>
            <w:tcBorders>
              <w:top w:val="nil"/>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8</w:t>
            </w:r>
          </w:p>
        </w:tc>
        <w:tc>
          <w:tcPr>
            <w:tcW w:w="139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小车轨道检查调整</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小车轨道调整，压板螺丝紧固</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color w:val="FF0000"/>
                <w:szCs w:val="21"/>
              </w:rPr>
            </w:pPr>
          </w:p>
        </w:tc>
      </w:tr>
      <w:tr>
        <w:tblPrEx>
          <w:tblCellMar>
            <w:top w:w="0" w:type="dxa"/>
            <w:left w:w="0" w:type="dxa"/>
            <w:bottom w:w="0" w:type="dxa"/>
            <w:right w:w="0" w:type="dxa"/>
          </w:tblCellMar>
        </w:tblPrEx>
        <w:trPr>
          <w:trHeight w:val="340" w:hRule="atLeast"/>
        </w:trPr>
        <w:tc>
          <w:tcPr>
            <w:tcW w:w="870"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9</w:t>
            </w:r>
          </w:p>
        </w:tc>
        <w:tc>
          <w:tcPr>
            <w:tcW w:w="1395"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小车刹车盘找平</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拆卸小车刹车盘</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color w:val="FF0000"/>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车床磨平小车刹车盘</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1只</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color w:val="FF0000"/>
                <w:szCs w:val="21"/>
              </w:rPr>
            </w:pPr>
          </w:p>
        </w:tc>
      </w:tr>
      <w:tr>
        <w:tblPrEx>
          <w:tblCellMar>
            <w:top w:w="0" w:type="dxa"/>
            <w:left w:w="0" w:type="dxa"/>
            <w:bottom w:w="0" w:type="dxa"/>
            <w:right w:w="0" w:type="dxa"/>
          </w:tblCellMar>
        </w:tblPrEx>
        <w:trPr>
          <w:trHeight w:val="340" w:hRule="atLeast"/>
        </w:trPr>
        <w:tc>
          <w:tcPr>
            <w:tcW w:w="87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10</w:t>
            </w:r>
          </w:p>
        </w:tc>
        <w:tc>
          <w:tcPr>
            <w:tcW w:w="139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钢丝绳导向轮更换</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钢丝绳滑轮8个更换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8个</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color w:val="FF0000"/>
                <w:szCs w:val="21"/>
              </w:rPr>
            </w:pPr>
          </w:p>
        </w:tc>
      </w:tr>
      <w:tr>
        <w:tblPrEx>
          <w:tblCellMar>
            <w:top w:w="0" w:type="dxa"/>
            <w:left w:w="0" w:type="dxa"/>
            <w:bottom w:w="0" w:type="dxa"/>
            <w:right w:w="0" w:type="dxa"/>
          </w:tblCellMar>
        </w:tblPrEx>
        <w:trPr>
          <w:trHeight w:val="340" w:hRule="atLeast"/>
        </w:trPr>
        <w:tc>
          <w:tcPr>
            <w:tcW w:w="870"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11</w:t>
            </w:r>
          </w:p>
        </w:tc>
        <w:tc>
          <w:tcPr>
            <w:tcW w:w="1395"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大车行走机构检查、维修</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卸船机大车车轮拆卸检查并保养</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卸船机大车车轮轴承检查更换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卸船机大车行走齿轮箱体制作4个并更换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4个</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卸船机大车4台防爬器拆卸保养检查</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4台</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12</w:t>
            </w:r>
          </w:p>
        </w:tc>
        <w:tc>
          <w:tcPr>
            <w:tcW w:w="1395"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大车轨道更换、调整</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卸船机大车轨道12根更换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12根</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卸船机轨道地基检修找平，加固垫板</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卸船机轨大车轨道调整，测距</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13</w:t>
            </w:r>
          </w:p>
        </w:tc>
        <w:tc>
          <w:tcPr>
            <w:tcW w:w="1395"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电仪设备检查保养</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PLC柜:卡件,模块清灰,接线端子紧固</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辅助柜:卡件,模块清灰,接线端子紧固</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LV2柜:卡件,模块清灰,接线端子紧固</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LV3柜:卡件,模块清灰,接线端子紧固</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司机室PLC柜:卡件,模块清灰,接线端子紧固</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司机室触摸屏通讯接口紧固</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大小车,起升、开闭凸轮开关检查</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电气室低压配电柜检查.清灰.紧固接线桩头</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电气室低压进线开关动作试验</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卸船机桥架及盖板检查.加固.放腐处理</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电机接线桩头检查紧固</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检查电气室.机房.司机室散热风机</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现场电气箱检查.紧固.清灰</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14</w:t>
            </w:r>
          </w:p>
        </w:tc>
        <w:tc>
          <w:tcPr>
            <w:tcW w:w="1395"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四卷筒机构检查保养</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起升、开闭减速机拆卸检查保养</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2只</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起升、开闭减速机拆箱各轴承更换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2台套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起升、开闭四卷筒拆卸检查保养</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2套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起升、开闭四卷筒球面联轴器拆卸检查保养</w:t>
            </w:r>
          </w:p>
        </w:tc>
        <w:tc>
          <w:tcPr>
            <w:tcW w:w="81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2台套</w:t>
            </w:r>
          </w:p>
        </w:tc>
        <w:tc>
          <w:tcPr>
            <w:tcW w:w="76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15</w:t>
            </w:r>
          </w:p>
        </w:tc>
        <w:tc>
          <w:tcPr>
            <w:tcW w:w="139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起升、开闭电机保养</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起升、开闭减速机电机拆卸</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3台</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16</w:t>
            </w:r>
          </w:p>
        </w:tc>
        <w:tc>
          <w:tcPr>
            <w:tcW w:w="1395"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行车维修</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检修行车电箱更换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1台</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检修行车连线手柄更换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1只</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1395"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检修行车小车行走滑线更换</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vMerge w:val="continue"/>
            <w:tcBorders>
              <w:left w:val="nil"/>
              <w:bottom w:val="single" w:color="auto" w:sz="8" w:space="0"/>
              <w:right w:val="single" w:color="auto" w:sz="8" w:space="0"/>
            </w:tcBorders>
          </w:tcPr>
          <w:p>
            <w:pPr>
              <w:spacing w:line="240" w:lineRule="exact"/>
              <w:jc w:val="center"/>
              <w:rPr>
                <w:rFonts w:ascii="方正仿宋简体" w:hAnsi="方正仿宋简体" w:eastAsia="方正仿宋简体" w:cs="方正仿宋简体"/>
                <w:bCs/>
                <w:szCs w:val="21"/>
              </w:rPr>
            </w:pPr>
          </w:p>
        </w:tc>
      </w:tr>
      <w:tr>
        <w:tblPrEx>
          <w:tblCellMar>
            <w:top w:w="0" w:type="dxa"/>
            <w:left w:w="0" w:type="dxa"/>
            <w:bottom w:w="0" w:type="dxa"/>
            <w:right w:w="0" w:type="dxa"/>
          </w:tblCellMar>
        </w:tblPrEx>
        <w:trPr>
          <w:trHeight w:val="340" w:hRule="atLeast"/>
        </w:trPr>
        <w:tc>
          <w:tcPr>
            <w:tcW w:w="870" w:type="dxa"/>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17</w:t>
            </w:r>
          </w:p>
        </w:tc>
        <w:tc>
          <w:tcPr>
            <w:tcW w:w="1395" w:type="dxa"/>
            <w:tcBorders>
              <w:top w:val="nil"/>
              <w:left w:val="single" w:color="auto" w:sz="8" w:space="0"/>
              <w:bottom w:val="single" w:color="auto" w:sz="8" w:space="0"/>
              <w:right w:val="single" w:color="auto" w:sz="8" w:space="0"/>
            </w:tcBorders>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大车齿轮箱罩壳制安</w:t>
            </w:r>
          </w:p>
        </w:tc>
        <w:tc>
          <w:tcPr>
            <w:tcW w:w="415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大车齿轮箱罩壳制作安装</w:t>
            </w:r>
          </w:p>
        </w:tc>
        <w:tc>
          <w:tcPr>
            <w:tcW w:w="81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p>
        </w:tc>
        <w:tc>
          <w:tcPr>
            <w:tcW w:w="1226" w:type="dxa"/>
            <w:tcBorders>
              <w:top w:val="nil"/>
              <w:left w:val="nil"/>
              <w:bottom w:val="single" w:color="auto" w:sz="8" w:space="0"/>
              <w:right w:val="single" w:color="auto" w:sz="8" w:space="0"/>
            </w:tcBorders>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所有材料均由中标方提供</w:t>
            </w:r>
          </w:p>
        </w:tc>
      </w:tr>
      <w:tr>
        <w:tblPrEx>
          <w:tblCellMar>
            <w:top w:w="0" w:type="dxa"/>
            <w:left w:w="0" w:type="dxa"/>
            <w:bottom w:w="0" w:type="dxa"/>
            <w:right w:w="0" w:type="dxa"/>
          </w:tblCellMar>
        </w:tblPrEx>
        <w:trPr>
          <w:trHeight w:val="340" w:hRule="atLeast"/>
        </w:trPr>
        <w:tc>
          <w:tcPr>
            <w:tcW w:w="870" w:type="dxa"/>
            <w:tcBorders>
              <w:top w:val="single" w:color="auto" w:sz="4" w:space="0"/>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18</w:t>
            </w:r>
          </w:p>
        </w:tc>
        <w:tc>
          <w:tcPr>
            <w:tcW w:w="139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滑轮组重力传感器改造</w:t>
            </w:r>
          </w:p>
        </w:tc>
        <w:tc>
          <w:tcPr>
            <w:tcW w:w="415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 xml:space="preserve">1.在前导向轮支座滑轮轴处增加2个测力点（在支座侧板滑轮轴处焊接2个动载称重模块基座，基座用筋板补强）。      </w:t>
            </w:r>
          </w:p>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2.动载称重模块与基座连接并可微调位置，根据动载称重模块尺寸，或对滑轮轴加长（可新做），或制做引导板与传感器可靠接触，能将滑轮轴负载均匀加载到动载称重模块。</w:t>
            </w:r>
          </w:p>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3.将支座侧板轴孔水平扩孔5mm。</w:t>
            </w:r>
            <w:r>
              <w:rPr>
                <w:rFonts w:hint="eastAsia" w:ascii="方正仿宋简体" w:hAnsi="方正仿宋简体" w:eastAsia="方正仿宋简体" w:cs="方正仿宋简体"/>
                <w:bCs/>
                <w:szCs w:val="21"/>
              </w:rPr>
              <w:br w:type="textWrapping"/>
            </w:r>
            <w:r>
              <w:rPr>
                <w:rFonts w:hint="eastAsia" w:ascii="方正仿宋简体" w:hAnsi="方正仿宋简体" w:eastAsia="方正仿宋简体" w:cs="方正仿宋简体"/>
                <w:bCs/>
                <w:szCs w:val="21"/>
              </w:rPr>
              <w:t>4.将2只动载称重模块（METTLER TOLEDO CW 20T）安装在基座上并与滑轮轴压紧固定。安装接线盒一台（METTLER TOLEDO AJB005）</w:t>
            </w:r>
            <w:r>
              <w:rPr>
                <w:rFonts w:hint="eastAsia" w:ascii="方正仿宋简体" w:hAnsi="方正仿宋简体" w:eastAsia="方正仿宋简体" w:cs="方正仿宋简体"/>
                <w:bCs/>
                <w:szCs w:val="21"/>
              </w:rPr>
              <w:br w:type="textWrapping"/>
            </w:r>
            <w:r>
              <w:rPr>
                <w:rFonts w:hint="eastAsia" w:ascii="方正仿宋简体" w:hAnsi="方正仿宋简体" w:eastAsia="方正仿宋简体" w:cs="方正仿宋简体"/>
                <w:bCs/>
                <w:szCs w:val="21"/>
              </w:rPr>
              <w:t>5.敷设滑轮组至小车驾驶室（METTLER TOLEDO PRVZP-1-LF6*0.6 /0.2）镀锡双屏蔽专用信号电缆100米，电气房至小车驾驶室ZR-DJYVPR 2×1.5屏蔽电缆50米。</w:t>
            </w:r>
            <w:r>
              <w:rPr>
                <w:rFonts w:hint="eastAsia" w:ascii="方正仿宋简体" w:hAnsi="方正仿宋简体" w:eastAsia="方正仿宋简体" w:cs="方正仿宋简体"/>
                <w:bCs/>
                <w:szCs w:val="21"/>
              </w:rPr>
              <w:br w:type="textWrapping"/>
            </w:r>
            <w:r>
              <w:rPr>
                <w:rFonts w:hint="eastAsia" w:ascii="方正仿宋简体" w:hAnsi="方正仿宋简体" w:eastAsia="方正仿宋简体" w:cs="方正仿宋简体"/>
                <w:bCs/>
                <w:szCs w:val="21"/>
              </w:rPr>
              <w:t xml:space="preserve">6.小车驾驶室安装称重显示仪一台，小车驾驶室安装报警蜂鸣器一台。                                                                                            7.接线调试。                          </w:t>
            </w:r>
          </w:p>
          <w:p>
            <w:pPr>
              <w:spacing w:line="240" w:lineRule="exact"/>
              <w:jc w:val="left"/>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8.挂码校验。</w:t>
            </w:r>
          </w:p>
        </w:tc>
        <w:tc>
          <w:tcPr>
            <w:tcW w:w="81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1套</w:t>
            </w:r>
          </w:p>
        </w:tc>
        <w:tc>
          <w:tcPr>
            <w:tcW w:w="76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pPr>
              <w:spacing w:line="240" w:lineRule="exact"/>
              <w:jc w:val="center"/>
              <w:rPr>
                <w:rFonts w:ascii="方正仿宋简体" w:hAnsi="方正仿宋简体" w:eastAsia="方正仿宋简体" w:cs="方正仿宋简体"/>
                <w:bCs/>
                <w:szCs w:val="21"/>
              </w:rPr>
            </w:pPr>
          </w:p>
        </w:tc>
        <w:tc>
          <w:tcPr>
            <w:tcW w:w="919"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pPr>
              <w:spacing w:line="240" w:lineRule="exact"/>
              <w:jc w:val="center"/>
              <w:rPr>
                <w:rFonts w:ascii="方正仿宋简体" w:hAnsi="方正仿宋简体" w:eastAsia="方正仿宋简体" w:cs="方正仿宋简体"/>
                <w:bCs/>
                <w:szCs w:val="21"/>
              </w:rPr>
            </w:pPr>
          </w:p>
        </w:tc>
        <w:tc>
          <w:tcPr>
            <w:tcW w:w="1226" w:type="dxa"/>
            <w:tcBorders>
              <w:top w:val="nil"/>
              <w:left w:val="nil"/>
              <w:bottom w:val="single" w:color="auto" w:sz="8" w:space="0"/>
              <w:right w:val="single" w:color="auto" w:sz="8" w:space="0"/>
            </w:tcBorders>
          </w:tcPr>
          <w:p>
            <w:pPr>
              <w:spacing w:line="240" w:lineRule="exact"/>
              <w:jc w:val="center"/>
              <w:rPr>
                <w:rFonts w:ascii="方正仿宋简体" w:hAnsi="方正仿宋简体" w:eastAsia="方正仿宋简体" w:cs="方正仿宋简体"/>
                <w:bCs/>
                <w:szCs w:val="21"/>
              </w:rPr>
            </w:pPr>
            <w:r>
              <w:rPr>
                <w:rFonts w:hint="eastAsia" w:ascii="方正仿宋简体" w:hAnsi="方正仿宋简体" w:eastAsia="方正仿宋简体" w:cs="方正仿宋简体"/>
                <w:bCs/>
                <w:szCs w:val="21"/>
              </w:rPr>
              <w:t>动载称重模块、接线盒、称重显示仪、蜂鸣器、信号电缆、模块支座等改造材料均由中标方提供。                       附：滑轮组</w:t>
            </w:r>
            <w:r>
              <w:rPr>
                <w:rFonts w:ascii="方正仿宋简体" w:hAnsi="方正仿宋简体" w:eastAsia="方正仿宋简体" w:cs="方正仿宋简体"/>
                <w:bCs/>
                <w:szCs w:val="21"/>
              </w:rPr>
              <w:t>重力传感器</w:t>
            </w:r>
            <w:r>
              <w:rPr>
                <w:rFonts w:hint="eastAsia" w:ascii="方正仿宋简体" w:hAnsi="方正仿宋简体" w:eastAsia="方正仿宋简体" w:cs="方正仿宋简体"/>
                <w:bCs/>
                <w:szCs w:val="21"/>
              </w:rPr>
              <w:t>改造示意图</w:t>
            </w:r>
          </w:p>
        </w:tc>
      </w:tr>
      <w:tr>
        <w:tblPrEx>
          <w:tblCellMar>
            <w:top w:w="0" w:type="dxa"/>
            <w:left w:w="0" w:type="dxa"/>
            <w:bottom w:w="0" w:type="dxa"/>
            <w:right w:w="0" w:type="dxa"/>
          </w:tblCellMar>
        </w:tblPrEx>
        <w:trPr>
          <w:trHeight w:val="340" w:hRule="atLeast"/>
        </w:trPr>
        <w:tc>
          <w:tcPr>
            <w:tcW w:w="6420" w:type="dxa"/>
            <w:gridSpan w:val="3"/>
            <w:tcBorders>
              <w:top w:val="single" w:color="auto" w:sz="4" w:space="0"/>
              <w:left w:val="single" w:color="auto" w:sz="8" w:space="0"/>
              <w:bottom w:val="single" w:color="auto" w:sz="4" w:space="0"/>
              <w:right w:val="single" w:color="auto" w:sz="8" w:space="0"/>
            </w:tcBorders>
            <w:vAlign w:val="center"/>
          </w:tcPr>
          <w:p>
            <w:pPr>
              <w:rPr>
                <w:rFonts w:ascii="方正仿宋简体" w:eastAsia="方正仿宋简体"/>
                <w:b/>
                <w:sz w:val="28"/>
                <w:szCs w:val="28"/>
              </w:rPr>
            </w:pPr>
            <w:r>
              <w:rPr>
                <w:rFonts w:hint="eastAsia" w:ascii="方正仿宋简体" w:eastAsia="方正仿宋简体"/>
                <w:b/>
                <w:sz w:val="28"/>
                <w:szCs w:val="28"/>
              </w:rPr>
              <w:t>总价（大写）：</w:t>
            </w:r>
          </w:p>
        </w:tc>
        <w:tc>
          <w:tcPr>
            <w:tcW w:w="3720" w:type="dxa"/>
            <w:gridSpan w:val="4"/>
            <w:tcBorders>
              <w:top w:val="nil"/>
              <w:left w:val="nil"/>
              <w:bottom w:val="single" w:color="auto" w:sz="4" w:space="0"/>
              <w:right w:val="single" w:color="auto" w:sz="8" w:space="0"/>
            </w:tcBorders>
            <w:shd w:val="clear" w:color="auto" w:fill="auto"/>
            <w:noWrap/>
            <w:tcMar>
              <w:top w:w="15" w:type="dxa"/>
              <w:left w:w="15" w:type="dxa"/>
              <w:bottom w:w="0" w:type="dxa"/>
              <w:right w:w="15" w:type="dxa"/>
            </w:tcMar>
            <w:vAlign w:val="bottom"/>
          </w:tcPr>
          <w:p>
            <w:pPr>
              <w:rPr>
                <w:rFonts w:ascii="方正仿宋简体" w:eastAsia="方正仿宋简体"/>
                <w:b/>
                <w:sz w:val="28"/>
                <w:szCs w:val="28"/>
              </w:rPr>
            </w:pPr>
            <w:r>
              <w:rPr>
                <w:rFonts w:hint="eastAsia" w:ascii="方正仿宋简体" w:eastAsia="方正仿宋简体"/>
                <w:b/>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11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14585"/>
    <w:rsid w:val="00030F87"/>
    <w:rsid w:val="000A22DB"/>
    <w:rsid w:val="000A4392"/>
    <w:rsid w:val="000C1845"/>
    <w:rsid w:val="000D6A23"/>
    <w:rsid w:val="0010553B"/>
    <w:rsid w:val="001260B7"/>
    <w:rsid w:val="00160290"/>
    <w:rsid w:val="00166793"/>
    <w:rsid w:val="00193418"/>
    <w:rsid w:val="001A7FE6"/>
    <w:rsid w:val="001C73AC"/>
    <w:rsid w:val="001F16BE"/>
    <w:rsid w:val="001F6542"/>
    <w:rsid w:val="00210C67"/>
    <w:rsid w:val="002133E5"/>
    <w:rsid w:val="0024403B"/>
    <w:rsid w:val="002F66BD"/>
    <w:rsid w:val="00331F42"/>
    <w:rsid w:val="00355E41"/>
    <w:rsid w:val="003732C8"/>
    <w:rsid w:val="003C384A"/>
    <w:rsid w:val="00413897"/>
    <w:rsid w:val="00455075"/>
    <w:rsid w:val="00466243"/>
    <w:rsid w:val="004875EB"/>
    <w:rsid w:val="004975D5"/>
    <w:rsid w:val="004C1280"/>
    <w:rsid w:val="004C289D"/>
    <w:rsid w:val="004F4F62"/>
    <w:rsid w:val="004F5E27"/>
    <w:rsid w:val="00546FD9"/>
    <w:rsid w:val="005779CC"/>
    <w:rsid w:val="005B58C8"/>
    <w:rsid w:val="006835A9"/>
    <w:rsid w:val="006D00BD"/>
    <w:rsid w:val="006D3CEC"/>
    <w:rsid w:val="006E0809"/>
    <w:rsid w:val="007254B5"/>
    <w:rsid w:val="00753CD1"/>
    <w:rsid w:val="00756CEF"/>
    <w:rsid w:val="007856FB"/>
    <w:rsid w:val="007875CD"/>
    <w:rsid w:val="007D630F"/>
    <w:rsid w:val="007E6E47"/>
    <w:rsid w:val="00842B41"/>
    <w:rsid w:val="00856599"/>
    <w:rsid w:val="00882A3F"/>
    <w:rsid w:val="008C785B"/>
    <w:rsid w:val="008D2F65"/>
    <w:rsid w:val="008D5377"/>
    <w:rsid w:val="0091028A"/>
    <w:rsid w:val="0093613E"/>
    <w:rsid w:val="00975ECA"/>
    <w:rsid w:val="009A7843"/>
    <w:rsid w:val="009D1883"/>
    <w:rsid w:val="00A054F9"/>
    <w:rsid w:val="00A63D7F"/>
    <w:rsid w:val="00A7381A"/>
    <w:rsid w:val="00A934E7"/>
    <w:rsid w:val="00A97749"/>
    <w:rsid w:val="00AB6095"/>
    <w:rsid w:val="00AC569D"/>
    <w:rsid w:val="00B17FFA"/>
    <w:rsid w:val="00B353E5"/>
    <w:rsid w:val="00B35C7E"/>
    <w:rsid w:val="00B51C96"/>
    <w:rsid w:val="00B74619"/>
    <w:rsid w:val="00B82CED"/>
    <w:rsid w:val="00B90950"/>
    <w:rsid w:val="00BD78FB"/>
    <w:rsid w:val="00BF2809"/>
    <w:rsid w:val="00C258E8"/>
    <w:rsid w:val="00C50B39"/>
    <w:rsid w:val="00C56465"/>
    <w:rsid w:val="00C97E7F"/>
    <w:rsid w:val="00D24639"/>
    <w:rsid w:val="00D32CC0"/>
    <w:rsid w:val="00D51C9C"/>
    <w:rsid w:val="00D71199"/>
    <w:rsid w:val="00DD194E"/>
    <w:rsid w:val="00E14327"/>
    <w:rsid w:val="00E45A9C"/>
    <w:rsid w:val="00E4738E"/>
    <w:rsid w:val="00E74639"/>
    <w:rsid w:val="00E9659A"/>
    <w:rsid w:val="00F16E4B"/>
    <w:rsid w:val="00F32DB5"/>
    <w:rsid w:val="00F45B42"/>
    <w:rsid w:val="00FA1409"/>
    <w:rsid w:val="00FC2CA3"/>
    <w:rsid w:val="00FD28F4"/>
    <w:rsid w:val="00FF61CA"/>
    <w:rsid w:val="0355512A"/>
    <w:rsid w:val="04E42F38"/>
    <w:rsid w:val="0CCD460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D896C10"/>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7419</Words>
  <Characters>7740</Characters>
  <Lines>61</Lines>
  <Paragraphs>17</Paragraphs>
  <TotalTime>13</TotalTime>
  <ScaleCrop>false</ScaleCrop>
  <LinksUpToDate>false</LinksUpToDate>
  <CharactersWithSpaces>8063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DELL</cp:lastModifiedBy>
  <cp:lastPrinted>2023-04-13T02:43:34Z</cp:lastPrinted>
  <dcterms:modified xsi:type="dcterms:W3CDTF">2023-04-13T02:43:40Z</dcterms:modified>
  <dc:title>镇江海纳川物流产业发展有限责任公司</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31C32E83394248B3BAE7D1AF1360BA57_13</vt:lpwstr>
  </property>
</Properties>
</file>