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20230508港口钢丝绳采购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 xml:space="preserve">2023年5月16日下午2点整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 xml:space="preserve">2023年5月16日下午2点整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w:t>
      </w:r>
      <w:bookmarkStart w:id="0" w:name="_GoBack"/>
      <w:bookmarkEnd w:id="0"/>
      <w:r>
        <w:rPr>
          <w:rFonts w:hint="eastAsia" w:ascii="方正仿宋简体" w:hAnsi="方正仿宋简体" w:eastAsia="方正仿宋简体" w:cs="方正仿宋简体"/>
          <w:bCs/>
          <w:sz w:val="32"/>
          <w:szCs w:val="32"/>
        </w:rPr>
        <w:t>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134"/>
        <w:gridCol w:w="2552"/>
        <w:gridCol w:w="567"/>
        <w:gridCol w:w="590"/>
        <w:gridCol w:w="818"/>
        <w:gridCol w:w="83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27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55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9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81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83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0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275" w:type="dxa"/>
            <w:vAlign w:val="center"/>
          </w:tcPr>
          <w:p>
            <w:pPr>
              <w:rPr>
                <w:rFonts w:ascii="宋体" w:hAnsi="宋体" w:cs="宋体"/>
                <w:color w:val="000000"/>
                <w:sz w:val="18"/>
                <w:szCs w:val="18"/>
              </w:rPr>
            </w:pPr>
            <w:r>
              <w:rPr>
                <w:rFonts w:hint="eastAsia"/>
                <w:color w:val="000000"/>
                <w:sz w:val="18"/>
                <w:szCs w:val="18"/>
              </w:rPr>
              <w:t>钢丝绳</w:t>
            </w:r>
          </w:p>
        </w:tc>
        <w:tc>
          <w:tcPr>
            <w:tcW w:w="1134" w:type="dxa"/>
            <w:vAlign w:val="center"/>
          </w:tcPr>
          <w:p>
            <w:pPr>
              <w:rPr>
                <w:rFonts w:ascii="宋体" w:hAnsi="宋体" w:cs="宋体"/>
                <w:color w:val="FF0000"/>
                <w:sz w:val="18"/>
                <w:szCs w:val="18"/>
              </w:rPr>
            </w:pPr>
          </w:p>
        </w:tc>
        <w:tc>
          <w:tcPr>
            <w:tcW w:w="2552" w:type="dxa"/>
            <w:vAlign w:val="center"/>
          </w:tcPr>
          <w:p>
            <w:pPr>
              <w:rPr>
                <w:rFonts w:ascii="宋体" w:hAnsi="宋体" w:cs="宋体"/>
                <w:color w:val="000000"/>
                <w:sz w:val="18"/>
                <w:szCs w:val="18"/>
              </w:rPr>
            </w:pPr>
            <w:r>
              <w:rPr>
                <w:rFonts w:hint="eastAsia"/>
                <w:color w:val="000000"/>
                <w:sz w:val="18"/>
                <w:szCs w:val="18"/>
              </w:rPr>
              <w:t xml:space="preserve">8* 26SW+IWR-26左旋 </w:t>
            </w:r>
            <w:r>
              <w:rPr>
                <w:rFonts w:hint="eastAsia"/>
                <w:sz w:val="18"/>
                <w:szCs w:val="18"/>
              </w:rPr>
              <w:t>狼山</w:t>
            </w:r>
          </w:p>
        </w:tc>
        <w:tc>
          <w:tcPr>
            <w:tcW w:w="567" w:type="dxa"/>
            <w:vAlign w:val="center"/>
          </w:tcPr>
          <w:p>
            <w:pPr>
              <w:jc w:val="center"/>
              <w:rPr>
                <w:rFonts w:ascii="宋体" w:hAnsi="宋体" w:cs="宋体"/>
                <w:color w:val="000000"/>
                <w:sz w:val="18"/>
                <w:szCs w:val="18"/>
              </w:rPr>
            </w:pPr>
            <w:r>
              <w:rPr>
                <w:rFonts w:hint="eastAsia"/>
                <w:color w:val="000000"/>
                <w:sz w:val="18"/>
                <w:szCs w:val="18"/>
              </w:rPr>
              <w:t>米</w:t>
            </w:r>
          </w:p>
        </w:tc>
        <w:tc>
          <w:tcPr>
            <w:tcW w:w="590" w:type="dxa"/>
            <w:vAlign w:val="center"/>
          </w:tcPr>
          <w:p>
            <w:pPr>
              <w:jc w:val="center"/>
              <w:rPr>
                <w:rFonts w:ascii="宋体" w:hAnsi="宋体" w:cs="宋体"/>
                <w:color w:val="000000"/>
                <w:sz w:val="18"/>
                <w:szCs w:val="18"/>
              </w:rPr>
            </w:pPr>
            <w:r>
              <w:rPr>
                <w:rFonts w:hint="eastAsia"/>
                <w:color w:val="000000"/>
                <w:sz w:val="18"/>
                <w:szCs w:val="18"/>
              </w:rPr>
              <w:t xml:space="preserve">360 </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275" w:type="dxa"/>
            <w:vAlign w:val="center"/>
          </w:tcPr>
          <w:p>
            <w:pPr>
              <w:rPr>
                <w:rFonts w:ascii="宋体" w:hAnsi="宋体" w:cs="宋体"/>
                <w:color w:val="000000"/>
                <w:sz w:val="18"/>
                <w:szCs w:val="18"/>
              </w:rPr>
            </w:pPr>
            <w:r>
              <w:rPr>
                <w:rFonts w:hint="eastAsia"/>
                <w:color w:val="000000"/>
                <w:sz w:val="18"/>
                <w:szCs w:val="18"/>
              </w:rPr>
              <w:t>钢丝绳</w:t>
            </w:r>
          </w:p>
        </w:tc>
        <w:tc>
          <w:tcPr>
            <w:tcW w:w="1134" w:type="dxa"/>
            <w:vAlign w:val="center"/>
          </w:tcPr>
          <w:p>
            <w:pPr>
              <w:rPr>
                <w:rFonts w:ascii="宋体" w:hAnsi="宋体" w:cs="宋体"/>
                <w:color w:val="FF0000"/>
                <w:sz w:val="18"/>
                <w:szCs w:val="18"/>
              </w:rPr>
            </w:pPr>
          </w:p>
        </w:tc>
        <w:tc>
          <w:tcPr>
            <w:tcW w:w="2552" w:type="dxa"/>
            <w:vAlign w:val="center"/>
          </w:tcPr>
          <w:p>
            <w:pPr>
              <w:rPr>
                <w:rFonts w:ascii="宋体" w:hAnsi="宋体" w:cs="宋体"/>
                <w:color w:val="000000"/>
                <w:sz w:val="18"/>
                <w:szCs w:val="18"/>
              </w:rPr>
            </w:pPr>
            <w:r>
              <w:rPr>
                <w:rFonts w:hint="eastAsia"/>
                <w:color w:val="000000"/>
                <w:sz w:val="18"/>
                <w:szCs w:val="18"/>
              </w:rPr>
              <w:t xml:space="preserve">8* 26SW+IWR-26右旋 </w:t>
            </w:r>
            <w:r>
              <w:rPr>
                <w:rFonts w:hint="eastAsia"/>
                <w:sz w:val="18"/>
                <w:szCs w:val="18"/>
              </w:rPr>
              <w:t>狼山</w:t>
            </w:r>
          </w:p>
        </w:tc>
        <w:tc>
          <w:tcPr>
            <w:tcW w:w="567" w:type="dxa"/>
            <w:vAlign w:val="center"/>
          </w:tcPr>
          <w:p>
            <w:pPr>
              <w:jc w:val="center"/>
              <w:rPr>
                <w:rFonts w:ascii="宋体" w:hAnsi="宋体" w:cs="宋体"/>
                <w:color w:val="000000"/>
                <w:sz w:val="18"/>
                <w:szCs w:val="18"/>
              </w:rPr>
            </w:pPr>
            <w:r>
              <w:rPr>
                <w:rFonts w:hint="eastAsia"/>
                <w:color w:val="000000"/>
                <w:sz w:val="18"/>
                <w:szCs w:val="18"/>
              </w:rPr>
              <w:t>米</w:t>
            </w:r>
          </w:p>
        </w:tc>
        <w:tc>
          <w:tcPr>
            <w:tcW w:w="590" w:type="dxa"/>
            <w:vAlign w:val="center"/>
          </w:tcPr>
          <w:p>
            <w:pPr>
              <w:jc w:val="center"/>
              <w:rPr>
                <w:rFonts w:ascii="宋体" w:hAnsi="宋体" w:cs="宋体"/>
                <w:color w:val="000000"/>
                <w:sz w:val="18"/>
                <w:szCs w:val="18"/>
              </w:rPr>
            </w:pPr>
            <w:r>
              <w:rPr>
                <w:rFonts w:hint="eastAsia"/>
                <w:color w:val="000000"/>
                <w:sz w:val="18"/>
                <w:szCs w:val="18"/>
              </w:rPr>
              <w:t xml:space="preserve">380 </w:t>
            </w:r>
          </w:p>
        </w:tc>
        <w:tc>
          <w:tcPr>
            <w:tcW w:w="81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3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504"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5" w:type="dxa"/>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312"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pPr>
    </w:p>
    <w:p>
      <w:pPr>
        <w:pStyle w:val="3"/>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10BC"/>
    <w:rsid w:val="0003693D"/>
    <w:rsid w:val="00063E06"/>
    <w:rsid w:val="000A22DB"/>
    <w:rsid w:val="000C1845"/>
    <w:rsid w:val="000D6A23"/>
    <w:rsid w:val="001260B7"/>
    <w:rsid w:val="00160290"/>
    <w:rsid w:val="00166793"/>
    <w:rsid w:val="0018234A"/>
    <w:rsid w:val="001915A1"/>
    <w:rsid w:val="00193418"/>
    <w:rsid w:val="00196EA5"/>
    <w:rsid w:val="001A7FE6"/>
    <w:rsid w:val="001B0C2F"/>
    <w:rsid w:val="001C3F61"/>
    <w:rsid w:val="001F16BE"/>
    <w:rsid w:val="00210C67"/>
    <w:rsid w:val="002133E5"/>
    <w:rsid w:val="0024696A"/>
    <w:rsid w:val="002B3E65"/>
    <w:rsid w:val="002F51AC"/>
    <w:rsid w:val="002F66BD"/>
    <w:rsid w:val="0031037C"/>
    <w:rsid w:val="00325814"/>
    <w:rsid w:val="00331F42"/>
    <w:rsid w:val="00355E41"/>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D4F71"/>
    <w:rsid w:val="0061433F"/>
    <w:rsid w:val="006734DC"/>
    <w:rsid w:val="006835A9"/>
    <w:rsid w:val="00693CB5"/>
    <w:rsid w:val="006C09FB"/>
    <w:rsid w:val="006D00BD"/>
    <w:rsid w:val="006D3CEC"/>
    <w:rsid w:val="006D5E62"/>
    <w:rsid w:val="0070428B"/>
    <w:rsid w:val="007254B5"/>
    <w:rsid w:val="00753CD1"/>
    <w:rsid w:val="00786EDE"/>
    <w:rsid w:val="007875CD"/>
    <w:rsid w:val="007D12CA"/>
    <w:rsid w:val="007D630F"/>
    <w:rsid w:val="007E6E47"/>
    <w:rsid w:val="007F1469"/>
    <w:rsid w:val="0083404A"/>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A002C"/>
    <w:rsid w:val="00DD194E"/>
    <w:rsid w:val="00E167E6"/>
    <w:rsid w:val="00E45A9C"/>
    <w:rsid w:val="00E50D02"/>
    <w:rsid w:val="00E74639"/>
    <w:rsid w:val="00E9659A"/>
    <w:rsid w:val="00EB7745"/>
    <w:rsid w:val="00ED1B47"/>
    <w:rsid w:val="00F0109D"/>
    <w:rsid w:val="00F16E4B"/>
    <w:rsid w:val="00F32DB5"/>
    <w:rsid w:val="00F45B42"/>
    <w:rsid w:val="00F75185"/>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38763B9"/>
    <w:rsid w:val="55DC546E"/>
    <w:rsid w:val="579C3951"/>
    <w:rsid w:val="596D6B7C"/>
    <w:rsid w:val="5CEC747F"/>
    <w:rsid w:val="626252A9"/>
    <w:rsid w:val="66202ABE"/>
    <w:rsid w:val="66441755"/>
    <w:rsid w:val="669C4C9F"/>
    <w:rsid w:val="66CF713B"/>
    <w:rsid w:val="68961ACE"/>
    <w:rsid w:val="6D9745DB"/>
    <w:rsid w:val="726141AB"/>
    <w:rsid w:val="7406451D"/>
    <w:rsid w:val="75193D4C"/>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5"/>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7198</Words>
  <Characters>7521</Characters>
  <Lines>57</Lines>
  <Paragraphs>16</Paragraphs>
  <TotalTime>0</TotalTime>
  <ScaleCrop>false</ScaleCrop>
  <LinksUpToDate>false</LinksUpToDate>
  <CharactersWithSpaces>7765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2023-05-08T08:40:57Z</cp:lastPrinted>
  <dcterms:modified xsi:type="dcterms:W3CDTF">2023-05-08T08:41:02Z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