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20230523港口生产备件采购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2023年6月1日上午10点30分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2023年6月1日上午10点30分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10515" w:type="dxa"/>
        <w:tblInd w:w="-1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77"/>
        <w:gridCol w:w="1494"/>
        <w:gridCol w:w="1843"/>
        <w:gridCol w:w="567"/>
        <w:gridCol w:w="567"/>
        <w:gridCol w:w="983"/>
        <w:gridCol w:w="100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高级中性结构耐候胶</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590ML 黑色</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支</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44</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玻璃胶</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道康宁</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支</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5</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铜制消防锹</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把</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20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4</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万向轮</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橡胶</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φ150</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2</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5</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老虎钳</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8寸 世达</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把</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4</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6</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燕尾丝</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长40mm</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盒</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2</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7</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碳钢圆柱铰链</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长130mm 直径30mm</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套</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3</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8</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四氟垫片</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DN50 δ=3mm</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20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9</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生料带</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无油</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卷</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80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10</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镀锌外丝</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20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11</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镀锌内丝堵头</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20#</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6</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12</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镀锌油令</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20#</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15</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13</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镀锌内丝</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20#</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50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14</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镀锌内丝弯头</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20#</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30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15</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镀锌内丝三通</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20#</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12</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16</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镀锌U型管卡</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套</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60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17</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不锈钢水龙头</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4〞</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4</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18</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碳钢法兰</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DN32 PN16</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20#</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6</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19</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碳钢盲板</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300LB</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片</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8</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20</w:t>
            </w:r>
          </w:p>
        </w:tc>
        <w:tc>
          <w:tcPr>
            <w:tcW w:w="217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不锈钢法兰止回阀（水平）</w:t>
            </w:r>
          </w:p>
        </w:tc>
        <w:tc>
          <w:tcPr>
            <w:tcW w:w="149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150LB 304</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7</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21</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不锈钢快开丝口球阀</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304</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18</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22</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不锈钢法兰式球阀</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PN16 304</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4</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23</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双头螺栓</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M20×100 8.8级</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套</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32</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24</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双头螺栓</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M16×80 8.8级</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套</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80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25</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双头螺栓</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M14×80 8.8级</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套</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80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26</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双头螺栓</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M14×80 8.8级</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80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27</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膨胀螺丝</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12*100</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颗</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100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28</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圆钢</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φ20</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米</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6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29</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镀锌钢管</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2" sch40</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Q235B</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米</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252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30</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镀锌方管</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150mm*150mm</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厚度5mm</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米</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12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31</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镀锌方管</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长60mm 宽40mm 厚度4mm</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米</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72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32</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自喷银粉漆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450ml/瓶</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瓶</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33</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自喷银粉漆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450ml/瓶</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瓶</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34</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自喷漆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大红 450ml</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35</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自喷漆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大红 450ml</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只</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10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36</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防锈漆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千克</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40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37</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水性金属漆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灰色</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千克</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45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38</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水性金属漆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黑色</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千克</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30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39</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水性金属漆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黄色</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千克</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45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40</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水性金属漆</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红色</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千克</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 xml:space="preserve">30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8"/>
                <w:szCs w:val="18"/>
              </w:rPr>
            </w:pPr>
            <w:r>
              <w:rPr>
                <w:rFonts w:hint="eastAsia"/>
                <w:color w:val="000000"/>
                <w:sz w:val="18"/>
                <w:szCs w:val="18"/>
              </w:rPr>
              <w:t>41</w:t>
            </w:r>
          </w:p>
        </w:tc>
        <w:tc>
          <w:tcPr>
            <w:tcW w:w="217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柏油清洗剂</w:t>
            </w:r>
          </w:p>
        </w:tc>
        <w:tc>
          <w:tcPr>
            <w:tcW w:w="14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　</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450ml</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ascii="宋体" w:hAnsi="宋体" w:cs="宋体"/>
                <w:color w:val="000000"/>
                <w:sz w:val="16"/>
                <w:szCs w:val="16"/>
              </w:rPr>
            </w:pPr>
            <w:r>
              <w:rPr>
                <w:rFonts w:hint="eastAsia"/>
                <w:color w:val="000000"/>
                <w:sz w:val="16"/>
                <w:szCs w:val="16"/>
              </w:rPr>
              <w:t>瓶</w:t>
            </w:r>
          </w:p>
        </w:tc>
        <w:tc>
          <w:tcPr>
            <w:tcW w:w="56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宋体"/>
                <w:color w:val="000000"/>
                <w:sz w:val="16"/>
                <w:szCs w:val="16"/>
              </w:rPr>
            </w:pPr>
            <w:r>
              <w:rPr>
                <w:rFonts w:hint="eastAsia"/>
                <w:color w:val="000000"/>
                <w:sz w:val="16"/>
                <w:szCs w:val="16"/>
              </w:rPr>
              <w:t>20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0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c>
          <w:tcPr>
            <w:tcW w:w="101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4" w:type="dxa"/>
            <w:gridSpan w:val="4"/>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4131" w:type="dxa"/>
            <w:gridSpan w:val="5"/>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10BC"/>
    <w:rsid w:val="0003693D"/>
    <w:rsid w:val="00063E06"/>
    <w:rsid w:val="000A22DB"/>
    <w:rsid w:val="000C1845"/>
    <w:rsid w:val="000D6A23"/>
    <w:rsid w:val="00115EEC"/>
    <w:rsid w:val="001260B7"/>
    <w:rsid w:val="00160290"/>
    <w:rsid w:val="00166793"/>
    <w:rsid w:val="0018234A"/>
    <w:rsid w:val="001915A1"/>
    <w:rsid w:val="00193418"/>
    <w:rsid w:val="00196EA5"/>
    <w:rsid w:val="001A7FE6"/>
    <w:rsid w:val="001C3F61"/>
    <w:rsid w:val="001F16BE"/>
    <w:rsid w:val="00210C67"/>
    <w:rsid w:val="002133E5"/>
    <w:rsid w:val="0024696A"/>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C7E90"/>
    <w:rsid w:val="004F5E27"/>
    <w:rsid w:val="00527733"/>
    <w:rsid w:val="0053268D"/>
    <w:rsid w:val="005D4F71"/>
    <w:rsid w:val="0061433F"/>
    <w:rsid w:val="006734DC"/>
    <w:rsid w:val="006835A9"/>
    <w:rsid w:val="00693CB5"/>
    <w:rsid w:val="006B2C08"/>
    <w:rsid w:val="006C09FB"/>
    <w:rsid w:val="006D00BD"/>
    <w:rsid w:val="006D3CEC"/>
    <w:rsid w:val="006D5E62"/>
    <w:rsid w:val="0070428B"/>
    <w:rsid w:val="00711ACD"/>
    <w:rsid w:val="007254B5"/>
    <w:rsid w:val="00753CD1"/>
    <w:rsid w:val="00781AF0"/>
    <w:rsid w:val="00786EDE"/>
    <w:rsid w:val="007875CD"/>
    <w:rsid w:val="007D12CA"/>
    <w:rsid w:val="007D630F"/>
    <w:rsid w:val="007E0D6B"/>
    <w:rsid w:val="007E6E47"/>
    <w:rsid w:val="0083404A"/>
    <w:rsid w:val="00842B41"/>
    <w:rsid w:val="00850BC8"/>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74586"/>
    <w:rsid w:val="00DA002C"/>
    <w:rsid w:val="00DD194E"/>
    <w:rsid w:val="00E45A9C"/>
    <w:rsid w:val="00E50D02"/>
    <w:rsid w:val="00E74639"/>
    <w:rsid w:val="00E9659A"/>
    <w:rsid w:val="00EB7745"/>
    <w:rsid w:val="00ED1B47"/>
    <w:rsid w:val="00F0109D"/>
    <w:rsid w:val="00F16E4B"/>
    <w:rsid w:val="00F32DB5"/>
    <w:rsid w:val="00F33B17"/>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7604</Words>
  <Characters>8109</Characters>
  <Lines>65</Lines>
  <Paragraphs>18</Paragraphs>
  <TotalTime>8</TotalTime>
  <ScaleCrop>false</ScaleCrop>
  <LinksUpToDate>false</LinksUpToDate>
  <CharactersWithSpaces>8432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2023-05-08T08:45:00Z</cp:lastPrinted>
  <dcterms:modified xsi:type="dcterms:W3CDTF">2023-05-24T00:55:51Z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