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eastAsia="方正小标宋简体" w:cs="宋体"/>
          <w:lang w:eastAsia="zh-CN"/>
        </w:rPr>
      </w:pPr>
      <w:r>
        <w:rPr>
          <w:rFonts w:hint="eastAsia" w:ascii="方正小标宋简体" w:hAnsi="宋体" w:eastAsia="方正小标宋简体" w:cs="宋体"/>
          <w:lang w:eastAsia="zh-CN"/>
        </w:rPr>
        <w:t>江苏兴普物贸有限公司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auto"/>
          <w:sz w:val="32"/>
          <w:szCs w:val="32"/>
          <w:lang w:val="zh-CN"/>
        </w:rPr>
        <w:t>自主公开招标的方式选定供应商，</w:t>
      </w:r>
      <w:r>
        <w:rPr>
          <w:rFonts w:hint="eastAsia" w:ascii="方正仿宋简体" w:hAnsi="方正仿宋简体" w:eastAsia="方正仿宋简体" w:cs="方正仿宋简体"/>
          <w:color w:val="auto"/>
          <w:sz w:val="32"/>
          <w:szCs w:val="32"/>
        </w:rPr>
        <w:t>欢迎具有相关资质的</w:t>
      </w:r>
      <w:r>
        <w:rPr>
          <w:rFonts w:hint="eastAsia" w:ascii="方正仿宋简体" w:hAnsi="方正仿宋简体" w:eastAsia="方正仿宋简体" w:cs="方正仿宋简体"/>
          <w:color w:val="auto"/>
          <w:sz w:val="32"/>
          <w:szCs w:val="32"/>
          <w:lang w:val="en-US" w:eastAsia="zh-CN"/>
        </w:rPr>
        <w:t>保险公司</w:t>
      </w:r>
      <w:r>
        <w:rPr>
          <w:rFonts w:hint="eastAsia" w:ascii="方正仿宋简体" w:hAnsi="方正仿宋简体" w:eastAsia="方正仿宋简体" w:cs="方正仿宋简体"/>
          <w:color w:val="auto"/>
          <w:sz w:val="32"/>
          <w:szCs w:val="32"/>
        </w:rPr>
        <w:t>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 xml:space="preserve">（一） </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rPr>
        <w:t>202</w:t>
      </w:r>
      <w:r>
        <w:rPr>
          <w:rFonts w:hint="eastAsia" w:ascii="方正仿宋简体" w:hAnsi="方正仿宋简体" w:eastAsia="方正仿宋简体" w:cs="方正仿宋简体"/>
          <w:bCs/>
          <w:sz w:val="32"/>
          <w:szCs w:val="32"/>
          <w:u w:val="single"/>
          <w:lang w:val="en-US" w:eastAsia="zh-CN"/>
        </w:rPr>
        <w:t>3</w:t>
      </w:r>
      <w:r>
        <w:rPr>
          <w:rFonts w:hint="eastAsia" w:ascii="方正仿宋简体" w:hAnsi="方正仿宋简体" w:eastAsia="方正仿宋简体" w:cs="方正仿宋简体"/>
          <w:bCs/>
          <w:sz w:val="32"/>
          <w:szCs w:val="32"/>
          <w:u w:val="single"/>
        </w:rPr>
        <w:t>年</w:t>
      </w:r>
      <w:r>
        <w:rPr>
          <w:rFonts w:hint="eastAsia" w:ascii="方正仿宋简体" w:hAnsi="方正仿宋简体" w:eastAsia="方正仿宋简体" w:cs="方正仿宋简体"/>
          <w:bCs/>
          <w:sz w:val="32"/>
          <w:szCs w:val="32"/>
          <w:u w:val="single"/>
          <w:lang w:val="en-US" w:eastAsia="zh-CN"/>
        </w:rPr>
        <w:t>-2024年</w:t>
      </w:r>
      <w:r>
        <w:rPr>
          <w:rFonts w:hint="eastAsia" w:ascii="方正仿宋简体" w:hAnsi="方正仿宋简体" w:eastAsia="方正仿宋简体" w:cs="方正仿宋简体"/>
          <w:bCs/>
          <w:sz w:val="32"/>
          <w:szCs w:val="32"/>
          <w:u w:val="single"/>
        </w:rPr>
        <w:t>度</w:t>
      </w:r>
      <w:r>
        <w:rPr>
          <w:rFonts w:hint="eastAsia" w:ascii="方正仿宋简体" w:hAnsi="方正仿宋简体" w:eastAsia="方正仿宋简体" w:cs="方正仿宋简体"/>
          <w:bCs/>
          <w:sz w:val="32"/>
          <w:szCs w:val="32"/>
          <w:u w:val="single"/>
          <w:lang w:val="en-US" w:eastAsia="zh-CN"/>
        </w:rPr>
        <w:t>雇主责任</w:t>
      </w:r>
      <w:r>
        <w:rPr>
          <w:rFonts w:hint="eastAsia" w:ascii="方正仿宋简体" w:hAnsi="方正仿宋简体" w:eastAsia="方正仿宋简体" w:cs="方正仿宋简体"/>
          <w:sz w:val="32"/>
          <w:szCs w:val="32"/>
          <w:u w:val="single"/>
          <w:lang w:val="en-US" w:eastAsia="zh-CN"/>
        </w:rPr>
        <w:t>险</w:t>
      </w:r>
      <w:r>
        <w:rPr>
          <w:rFonts w:hint="eastAsia" w:ascii="方正仿宋简体" w:hAnsi="方正仿宋简体" w:eastAsia="方正仿宋简体" w:cs="方正仿宋简体"/>
          <w:bCs/>
          <w:sz w:val="32"/>
          <w:szCs w:val="32"/>
          <w:u w:val="single"/>
        </w:rPr>
        <w:t>保险</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2023年6月27日下午2点整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color="auto"/>
          <w:lang w:val="en-US" w:eastAsia="zh-CN"/>
        </w:rPr>
        <w:t xml:space="preserve"> </w:t>
      </w:r>
      <w:r>
        <w:rPr>
          <w:rFonts w:hint="eastAsia" w:ascii="方正仿宋简体" w:hAnsi="方正仿宋简体" w:eastAsia="方正仿宋简体" w:cs="方正仿宋简体"/>
          <w:sz w:val="32"/>
          <w:szCs w:val="32"/>
          <w:u w:val="single"/>
          <w:lang w:val="en-US" w:eastAsia="zh-CN"/>
        </w:rPr>
        <w:t>2023年6月27日下午2点整</w:t>
      </w:r>
      <w:r>
        <w:rPr>
          <w:rFonts w:hint="eastAsia" w:ascii="方正仿宋简体" w:hAnsi="方正仿宋简体" w:eastAsia="方正仿宋简体" w:cs="方正仿宋简体"/>
          <w:sz w:val="32"/>
          <w:szCs w:val="32"/>
          <w:u w:val="single" w:color="auto"/>
          <w:lang w:val="en-US" w:eastAsia="zh-CN"/>
        </w:rPr>
        <w:t xml:space="preserve">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w:t>
      </w:r>
      <w:r>
        <w:rPr>
          <w:rFonts w:hint="eastAsia" w:ascii="方正仿宋简体" w:hAnsi="方正仿宋简体" w:eastAsia="方正仿宋简体" w:cs="方正仿宋简体"/>
          <w:sz w:val="32"/>
          <w:szCs w:val="32"/>
          <w:highlight w:val="none"/>
          <w:u w:val="single" w:color="auto"/>
          <w:lang w:val="en-US" w:eastAsia="zh-CN"/>
        </w:rPr>
        <w:t>开标室</w:t>
      </w:r>
      <w:r>
        <w:rPr>
          <w:rFonts w:hint="eastAsia" w:ascii="方正仿宋简体" w:hAnsi="方正仿宋简体" w:eastAsia="方正仿宋简体" w:cs="方正仿宋简体"/>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（五）</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tbl>
      <w:tblPr>
        <w:tblStyle w:val="13"/>
        <w:tblpPr w:leftFromText="180" w:rightFromText="180" w:vertAnchor="text" w:horzAnchor="page" w:tblpX="2056" w:tblpY="264"/>
        <w:tblOverlap w:val="never"/>
        <w:tblW w:w="8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946"/>
        <w:gridCol w:w="5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946" w:type="dxa"/>
            <w:vAlign w:val="center"/>
          </w:tcPr>
          <w:p>
            <w:pPr>
              <w:keepNext w:val="0"/>
              <w:keepLines w:val="0"/>
              <w:widowControl/>
              <w:suppressLineNumbers w:val="0"/>
              <w:jc w:val="center"/>
              <w:rPr>
                <w:rFonts w:hint="eastAsia" w:ascii="方正黑体_GBK" w:hAnsi="方正黑体_GBK" w:eastAsia="方正黑体_GBK" w:cs="方正黑体_GBK"/>
                <w:b/>
                <w:color w:val="000000"/>
                <w:sz w:val="32"/>
                <w:szCs w:val="32"/>
              </w:rPr>
            </w:pPr>
            <w:r>
              <w:rPr>
                <w:rFonts w:hint="eastAsia" w:ascii="方正黑体_GBK" w:hAnsi="方正黑体_GBK" w:eastAsia="方正黑体_GBK" w:cs="方正黑体_GBK"/>
                <w:b/>
                <w:bCs/>
                <w:color w:val="000000"/>
                <w:kern w:val="0"/>
                <w:sz w:val="32"/>
                <w:szCs w:val="32"/>
                <w:lang w:val="en-US" w:eastAsia="zh-CN" w:bidi="ar"/>
              </w:rPr>
              <w:t>保障项目</w:t>
            </w:r>
          </w:p>
        </w:tc>
        <w:tc>
          <w:tcPr>
            <w:tcW w:w="5055" w:type="dxa"/>
            <w:vAlign w:val="center"/>
          </w:tcPr>
          <w:p>
            <w:pPr>
              <w:keepNext w:val="0"/>
              <w:keepLines w:val="0"/>
              <w:widowControl/>
              <w:suppressLineNumbers w:val="0"/>
              <w:jc w:val="center"/>
              <w:rPr>
                <w:rFonts w:hint="eastAsia" w:ascii="方正黑体_GBK" w:hAnsi="方正黑体_GBK" w:eastAsia="方正黑体_GBK" w:cs="方正黑体_GBK"/>
                <w:b/>
                <w:color w:val="000000"/>
                <w:sz w:val="32"/>
                <w:szCs w:val="32"/>
              </w:rPr>
            </w:pPr>
            <w:r>
              <w:rPr>
                <w:rFonts w:hint="eastAsia" w:ascii="方正黑体_GBK" w:hAnsi="方正黑体_GBK" w:eastAsia="方正黑体_GBK" w:cs="方正黑体_GBK"/>
                <w:b/>
                <w:bCs/>
                <w:color w:val="000000"/>
                <w:kern w:val="0"/>
                <w:sz w:val="32"/>
                <w:szCs w:val="32"/>
                <w:lang w:val="en-US" w:eastAsia="zh-CN" w:bidi="ar"/>
              </w:rPr>
              <w:t>赔偿限额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bCs/>
                <w:color w:val="000000"/>
                <w:sz w:val="28"/>
                <w:szCs w:val="28"/>
              </w:rPr>
            </w:pPr>
            <w:r>
              <w:rPr>
                <w:rFonts w:hint="eastAsia" w:ascii="方正仿宋简体" w:hAnsi="方正仿宋简体" w:eastAsia="方正仿宋简体" w:cs="方正仿宋简体"/>
                <w:color w:val="000000"/>
                <w:kern w:val="0"/>
                <w:sz w:val="28"/>
                <w:szCs w:val="28"/>
                <w:lang w:val="en-US" w:eastAsia="zh-CN" w:bidi="ar"/>
              </w:rPr>
              <w:t>意外身故、残疾给付</w:t>
            </w:r>
          </w:p>
        </w:tc>
        <w:tc>
          <w:tcPr>
            <w:tcW w:w="505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lang w:val="en-US" w:eastAsia="zh-CN" w:bidi="ar"/>
              </w:rPr>
              <w:t>每人赔偿限额 100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bCs/>
                <w:color w:val="000000"/>
                <w:sz w:val="28"/>
                <w:szCs w:val="28"/>
              </w:rPr>
            </w:pPr>
            <w:r>
              <w:rPr>
                <w:rFonts w:hint="eastAsia" w:ascii="方正仿宋简体" w:hAnsi="方正仿宋简体" w:eastAsia="方正仿宋简体" w:cs="方正仿宋简体"/>
                <w:color w:val="000000"/>
                <w:kern w:val="0"/>
                <w:sz w:val="28"/>
                <w:szCs w:val="28"/>
                <w:lang w:val="en-US" w:eastAsia="zh-CN" w:bidi="ar"/>
              </w:rPr>
              <w:t>意外伤害医疗</w:t>
            </w:r>
          </w:p>
        </w:tc>
        <w:tc>
          <w:tcPr>
            <w:tcW w:w="505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lang w:val="en-US" w:eastAsia="zh-CN" w:bidi="ar"/>
              </w:rPr>
              <w:t>每人赔偿限额 1.5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bCs/>
                <w:color w:val="000000"/>
                <w:kern w:val="0"/>
                <w:sz w:val="28"/>
                <w:szCs w:val="28"/>
              </w:rPr>
            </w:pPr>
            <w:r>
              <w:rPr>
                <w:rFonts w:hint="eastAsia" w:ascii="方正仿宋简体" w:hAnsi="方正仿宋简体" w:eastAsia="方正仿宋简体" w:cs="方正仿宋简体"/>
                <w:color w:val="000000"/>
                <w:kern w:val="0"/>
                <w:sz w:val="28"/>
                <w:szCs w:val="28"/>
                <w:lang w:val="en-US" w:eastAsia="zh-CN" w:bidi="ar"/>
              </w:rPr>
              <w:t>意外住院津贴</w:t>
            </w:r>
          </w:p>
        </w:tc>
        <w:tc>
          <w:tcPr>
            <w:tcW w:w="505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lang w:val="en-US" w:eastAsia="zh-CN" w:bidi="ar"/>
              </w:rPr>
              <w:t>意外住院津贴为每人赔偿限额 90 元/天， 最高赔付 180 天，住院津贴无免赔</w:t>
            </w:r>
          </w:p>
        </w:tc>
      </w:tr>
    </w:tbl>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附免赔条件：</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1.人身伤亡：无免赔 ；</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pPr>
      <w:r>
        <w:rPr>
          <w:rFonts w:hint="eastAsia" w:ascii="方正仿宋简体" w:hAnsi="方正仿宋简体" w:eastAsia="方正仿宋简体" w:cs="方正仿宋简体"/>
          <w:sz w:val="32"/>
          <w:szCs w:val="32"/>
          <w:lang w:val="en-US" w:eastAsia="zh-CN"/>
        </w:rPr>
        <w:t>2.免赔：每次事故每人医疗费用免赔 100 元</w:t>
      </w:r>
      <w:r>
        <w:rPr>
          <w:rFonts w:hint="eastAsia" w:ascii="仿宋" w:hAnsi="仿宋" w:eastAsia="仿宋" w:cs="仿宋"/>
          <w:color w:val="000000"/>
          <w:kern w:val="0"/>
          <w:sz w:val="28"/>
          <w:szCs w:val="28"/>
          <w:lang w:val="en-US" w:eastAsia="zh-CN" w:bidi="ar"/>
        </w:rPr>
        <w:t xml:space="preserve"> 。</w:t>
      </w:r>
    </w:p>
    <w:p>
      <w:pPr>
        <w:keepNext w:val="0"/>
        <w:keepLines w:val="0"/>
        <w:widowControl/>
        <w:suppressLineNumbers w:val="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注：</w:t>
      </w:r>
    </w:p>
    <w:p>
      <w:pPr>
        <w:keepNext w:val="0"/>
        <w:keepLines w:val="0"/>
        <w:pageBreakBefore w:val="0"/>
        <w:widowControl/>
        <w:numPr>
          <w:ilvl w:val="0"/>
          <w:numId w:val="0"/>
        </w:numPr>
        <w:suppressLineNumbers w:val="0"/>
        <w:kinsoku/>
        <w:overflowPunct/>
        <w:topLinePunct w:val="0"/>
        <w:autoSpaceDE/>
        <w:autoSpaceDN/>
        <w:bidi w:val="0"/>
        <w:snapToGrid/>
        <w:spacing w:line="600" w:lineRule="exact"/>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1.每次事故：指不论一次事故或一个事件引起的一系列事故；</w:t>
      </w:r>
    </w:p>
    <w:p>
      <w:pPr>
        <w:pStyle w:val="2"/>
        <w:keepNext w:val="0"/>
        <w:keepLines w:val="0"/>
        <w:pageBreakBefore w:val="0"/>
        <w:numPr>
          <w:ilvl w:val="0"/>
          <w:numId w:val="0"/>
        </w:numPr>
        <w:kinsoku/>
        <w:overflowPunct/>
        <w:topLinePunct w:val="0"/>
        <w:autoSpaceDE/>
        <w:autoSpaceDN/>
        <w:bidi w:val="0"/>
        <w:snapToGrid/>
        <w:spacing w:line="600" w:lineRule="exact"/>
        <w:ind w:firstLine="640"/>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kern w:val="2"/>
          <w:sz w:val="32"/>
          <w:szCs w:val="32"/>
          <w:lang w:val="en-US" w:eastAsia="zh-CN" w:bidi="ar-SA"/>
        </w:rPr>
        <w:t>2.暂定13人（工种：码头岸基管理人员及船员），</w:t>
      </w:r>
      <w:r>
        <w:rPr>
          <w:rFonts w:hint="eastAsia" w:ascii="方正仿宋简体" w:hAnsi="方正仿宋简体" w:eastAsia="方正仿宋简体" w:cs="方正仿宋简体"/>
          <w:bCs/>
          <w:sz w:val="32"/>
          <w:szCs w:val="32"/>
        </w:rPr>
        <w:t>最终</w:t>
      </w:r>
      <w:r>
        <w:rPr>
          <w:rFonts w:hint="eastAsia" w:ascii="方正仿宋简体" w:hAnsi="方正仿宋简体" w:eastAsia="方正仿宋简体" w:cs="方正仿宋简体"/>
          <w:bCs/>
          <w:sz w:val="32"/>
          <w:szCs w:val="32"/>
          <w:lang w:val="en-US" w:eastAsia="zh-CN"/>
        </w:rPr>
        <w:t>人数</w:t>
      </w:r>
      <w:r>
        <w:rPr>
          <w:rFonts w:hint="eastAsia" w:ascii="方正仿宋简体" w:hAnsi="方正仿宋简体" w:eastAsia="方正仿宋简体" w:cs="方正仿宋简体"/>
          <w:bCs/>
          <w:sz w:val="32"/>
          <w:szCs w:val="32"/>
        </w:rPr>
        <w:t>以实际</w:t>
      </w:r>
      <w:r>
        <w:rPr>
          <w:rFonts w:hint="eastAsia" w:ascii="方正仿宋简体" w:hAnsi="方正仿宋简体" w:eastAsia="方正仿宋简体" w:cs="方正仿宋简体"/>
          <w:bCs/>
          <w:sz w:val="32"/>
          <w:szCs w:val="32"/>
          <w:lang w:val="en-US" w:eastAsia="zh-CN"/>
        </w:rPr>
        <w:t>人员</w:t>
      </w:r>
      <w:r>
        <w:rPr>
          <w:rFonts w:hint="eastAsia" w:ascii="方正仿宋简体" w:hAnsi="方正仿宋简体" w:eastAsia="方正仿宋简体" w:cs="方正仿宋简体"/>
          <w:bCs/>
          <w:sz w:val="32"/>
          <w:szCs w:val="32"/>
        </w:rPr>
        <w:t>清单数据为准</w:t>
      </w:r>
      <w:r>
        <w:rPr>
          <w:rFonts w:hint="eastAsia" w:ascii="方正仿宋简体" w:hAnsi="方正仿宋简体" w:eastAsia="方正仿宋简体" w:cs="方正仿宋简体"/>
          <w:bCs/>
          <w:sz w:val="32"/>
          <w:szCs w:val="32"/>
          <w:lang w:eastAsia="zh-CN"/>
        </w:rPr>
        <w:t>；</w:t>
      </w:r>
    </w:p>
    <w:p>
      <w:pPr>
        <w:keepNext w:val="0"/>
        <w:keepLines w:val="0"/>
        <w:pageBreakBefore w:val="0"/>
        <w:widowControl/>
        <w:suppressLineNumbers w:val="0"/>
        <w:kinsoku/>
        <w:overflowPunct/>
        <w:topLinePunct w:val="0"/>
        <w:autoSpaceDE/>
        <w:autoSpaceDN/>
        <w:bidi w:val="0"/>
        <w:snapToGrid/>
        <w:spacing w:line="600" w:lineRule="exact"/>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3.保险期限：2023 年 7 月 27 日至 2025 年 7 月 26 日（保单一年一出，具体以实际保单为准）。</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320" w:firstLineChars="1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资质</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投标公司必须是拥有中国银保监会批准开展财产保险业务的资格，且必须在镇江市有设立分（支)公司。</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本次投标公司必须符合下列条件：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1.具有合法的企业营业执照以及相关资质证明。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2.投标公司代表必须是公司的法定负责人或授权代理人。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3.投标公司在承保安排、人员组织、业绩经验、方案设计、经营管理和配套服务等方面具有相关的资格和能力。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4.投标公司参加此次招标事项前三年内，在经营活动中没有重大违法记录。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5.投标公司具有良好的银行资信和商业信誉，没有处于被责令停业、财产被接管、冻结、破产状态。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6.投标公司具有承保本次招标公司提出险种的经营范围。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7.法律、行政法规规定的其他条件。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综合情况要求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sz w:val="28"/>
          <w:szCs w:val="28"/>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我公司经评定的公司经营评价结果类别如下：</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02"/>
        <w:gridCol w:w="2126"/>
        <w:gridCol w:w="1843"/>
        <w:gridCol w:w="17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pPr>
              <w:spacing w:line="500" w:lineRule="exact"/>
              <w:jc w:val="center"/>
              <w:rPr>
                <w:rFonts w:ascii="仿宋_GB2312" w:hAnsi="仿宋" w:eastAsia="仿宋_GB2312" w:cs="仿宋"/>
                <w:b/>
                <w:sz w:val="28"/>
                <w:szCs w:val="28"/>
              </w:rPr>
            </w:pPr>
          </w:p>
        </w:tc>
        <w:tc>
          <w:tcPr>
            <w:tcW w:w="2126" w:type="dxa"/>
            <w:vAlign w:val="center"/>
          </w:tcPr>
          <w:p>
            <w:pPr>
              <w:spacing w:line="500" w:lineRule="exact"/>
              <w:jc w:val="center"/>
              <w:rPr>
                <w:rFonts w:ascii="仿宋_GB2312" w:hAnsi="仿宋" w:eastAsia="仿宋_GB2312" w:cs="仿宋"/>
                <w:b/>
                <w:sz w:val="24"/>
                <w:szCs w:val="24"/>
              </w:rPr>
            </w:pPr>
            <w:r>
              <w:rPr>
                <w:rFonts w:hint="eastAsia" w:ascii="仿宋_GB2312" w:hAnsi="仿宋" w:eastAsia="仿宋_GB2312" w:cs="仿宋"/>
                <w:b/>
                <w:sz w:val="24"/>
                <w:szCs w:val="24"/>
              </w:rPr>
              <w:t>评级/类别</w:t>
            </w:r>
          </w:p>
        </w:tc>
        <w:tc>
          <w:tcPr>
            <w:tcW w:w="1843" w:type="dxa"/>
          </w:tcPr>
          <w:p>
            <w:pPr>
              <w:spacing w:line="500" w:lineRule="exact"/>
              <w:jc w:val="center"/>
              <w:rPr>
                <w:rFonts w:ascii="仿宋_GB2312" w:hAnsi="仿宋" w:eastAsia="仿宋_GB2312" w:cs="仿宋"/>
                <w:b/>
                <w:sz w:val="24"/>
                <w:szCs w:val="24"/>
              </w:rPr>
            </w:pPr>
            <w:r>
              <w:rPr>
                <w:rFonts w:hint="eastAsia" w:ascii="仿宋_GB2312" w:hAnsi="仿宋" w:eastAsia="仿宋_GB2312" w:cs="仿宋"/>
                <w:b/>
                <w:sz w:val="24"/>
                <w:szCs w:val="24"/>
              </w:rPr>
              <w:t>所属年度</w:t>
            </w:r>
          </w:p>
        </w:tc>
        <w:tc>
          <w:tcPr>
            <w:tcW w:w="1751" w:type="dxa"/>
          </w:tcPr>
          <w:p>
            <w:pPr>
              <w:spacing w:line="500" w:lineRule="exact"/>
              <w:jc w:val="center"/>
              <w:rPr>
                <w:rFonts w:ascii="仿宋_GB2312" w:hAnsi="仿宋" w:eastAsia="仿宋_GB2312" w:cs="仿宋"/>
                <w:b/>
                <w:sz w:val="24"/>
                <w:szCs w:val="24"/>
              </w:rPr>
            </w:pPr>
            <w:r>
              <w:rPr>
                <w:rFonts w:hint="eastAsia" w:ascii="仿宋_GB2312" w:hAnsi="仿宋" w:eastAsia="仿宋_GB2312" w:cs="仿宋"/>
                <w:b/>
                <w:sz w:val="24"/>
                <w:szCs w:val="24"/>
              </w:rPr>
              <w:t>评定机构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pPr>
              <w:pStyle w:val="9"/>
              <w:spacing w:line="500" w:lineRule="exact"/>
              <w:ind w:firstLine="0" w:firstLineChars="0"/>
              <w:jc w:val="both"/>
              <w:rPr>
                <w:rFonts w:ascii="仿宋_GB2312" w:hAnsi="仿宋" w:eastAsia="仿宋_GB2312" w:cs="仿宋"/>
                <w:sz w:val="24"/>
                <w:szCs w:val="24"/>
              </w:rPr>
            </w:pPr>
            <w:r>
              <w:rPr>
                <w:rFonts w:hint="eastAsia" w:ascii="仿宋_GB2312" w:hAnsi="仿宋" w:eastAsia="仿宋_GB2312" w:cs="仿宋"/>
                <w:sz w:val="24"/>
                <w:szCs w:val="24"/>
              </w:rPr>
              <w:t>经营评价结果类别</w:t>
            </w:r>
          </w:p>
        </w:tc>
        <w:tc>
          <w:tcPr>
            <w:tcW w:w="2126" w:type="dxa"/>
          </w:tcPr>
          <w:p>
            <w:pPr>
              <w:pStyle w:val="9"/>
              <w:spacing w:line="500" w:lineRule="exact"/>
              <w:ind w:firstLine="0" w:firstLineChars="0"/>
              <w:jc w:val="both"/>
              <w:rPr>
                <w:rFonts w:ascii="仿宋_GB2312" w:hAnsi="仿宋" w:eastAsia="仿宋_GB2312" w:cs="仿宋"/>
                <w:sz w:val="24"/>
                <w:szCs w:val="24"/>
              </w:rPr>
            </w:pPr>
          </w:p>
        </w:tc>
        <w:tc>
          <w:tcPr>
            <w:tcW w:w="1843" w:type="dxa"/>
            <w:vAlign w:val="center"/>
          </w:tcPr>
          <w:p>
            <w:pPr>
              <w:pStyle w:val="9"/>
              <w:spacing w:line="500" w:lineRule="exact"/>
              <w:ind w:firstLine="0" w:firstLineChars="0"/>
              <w:rPr>
                <w:rFonts w:ascii="仿宋_GB2312" w:hAnsi="仿宋" w:eastAsia="仿宋_GB2312" w:cs="仿宋"/>
                <w:sz w:val="24"/>
                <w:szCs w:val="24"/>
              </w:rPr>
            </w:pPr>
            <w:r>
              <w:rPr>
                <w:rFonts w:hint="eastAsia" w:ascii="仿宋_GB2312" w:hAnsi="仿宋" w:eastAsia="仿宋_GB2312" w:cs="仿宋"/>
                <w:sz w:val="24"/>
                <w:szCs w:val="24"/>
              </w:rPr>
              <w:t>2020年</w:t>
            </w:r>
          </w:p>
        </w:tc>
        <w:tc>
          <w:tcPr>
            <w:tcW w:w="1751" w:type="dxa"/>
          </w:tcPr>
          <w:p>
            <w:pPr>
              <w:pStyle w:val="9"/>
              <w:spacing w:line="500" w:lineRule="exact"/>
              <w:ind w:firstLine="0" w:firstLineChars="0"/>
              <w:rPr>
                <w:rFonts w:ascii="仿宋_GB2312" w:hAnsi="仿宋" w:eastAsia="仿宋_GB2312" w:cs="仿宋"/>
                <w:sz w:val="24"/>
                <w:szCs w:val="24"/>
              </w:rPr>
            </w:pPr>
            <w:r>
              <w:rPr>
                <w:rFonts w:hint="eastAsia" w:ascii="仿宋_GB2312" w:hAnsi="仿宋" w:eastAsia="仿宋_GB2312" w:cs="仿宋"/>
                <w:sz w:val="24"/>
                <w:szCs w:val="24"/>
              </w:rPr>
              <w:t>中保协</w:t>
            </w:r>
          </w:p>
        </w:tc>
      </w:tr>
    </w:tbl>
    <w:p>
      <w:pPr>
        <w:spacing w:line="500" w:lineRule="exact"/>
        <w:ind w:firstLine="640" w:firstLineChars="200"/>
        <w:rPr>
          <w:rFonts w:ascii="楷体" w:hAnsi="楷体" w:eastAsia="楷体" w:cs="仿宋"/>
          <w:sz w:val="28"/>
          <w:szCs w:val="28"/>
        </w:rPr>
      </w:pPr>
      <w:r>
        <w:rPr>
          <w:rFonts w:hint="eastAsia" w:ascii="方正仿宋简体" w:hAnsi="方正仿宋简体" w:eastAsia="方正仿宋简体" w:cs="方正仿宋简体"/>
          <w:sz w:val="32"/>
          <w:szCs w:val="32"/>
        </w:rPr>
        <w:t>注：以上数据为经中保协评定并发布的数据，并请附上评级通知截图或复印件。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2.我公司2021年度风险综合评级结果如下：</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87"/>
        <w:gridCol w:w="1920"/>
        <w:gridCol w:w="1605"/>
        <w:gridCol w:w="1605"/>
        <w:gridCol w:w="16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87" w:type="dxa"/>
            <w:vAlign w:val="center"/>
          </w:tcPr>
          <w:p>
            <w:pPr>
              <w:spacing w:line="500" w:lineRule="exact"/>
              <w:jc w:val="center"/>
              <w:rPr>
                <w:rFonts w:ascii="仿宋_GB2312" w:hAnsi="仿宋" w:eastAsia="仿宋_GB2312" w:cs="仿宋"/>
                <w:b/>
                <w:sz w:val="24"/>
                <w:szCs w:val="24"/>
              </w:rPr>
            </w:pPr>
          </w:p>
        </w:tc>
        <w:tc>
          <w:tcPr>
            <w:tcW w:w="1920" w:type="dxa"/>
            <w:vAlign w:val="center"/>
          </w:tcPr>
          <w:p>
            <w:pPr>
              <w:spacing w:line="500" w:lineRule="exact"/>
              <w:jc w:val="center"/>
              <w:rPr>
                <w:rFonts w:ascii="仿宋_GB2312" w:hAnsi="仿宋" w:eastAsia="仿宋_GB2312" w:cs="仿宋"/>
                <w:b/>
                <w:sz w:val="24"/>
                <w:szCs w:val="24"/>
              </w:rPr>
            </w:pPr>
            <w:r>
              <w:rPr>
                <w:rFonts w:hint="eastAsia" w:ascii="仿宋_GB2312" w:hAnsi="仿宋" w:eastAsia="仿宋_GB2312" w:cs="仿宋"/>
                <w:b/>
                <w:sz w:val="24"/>
                <w:szCs w:val="24"/>
              </w:rPr>
              <w:t>一季度</w:t>
            </w:r>
          </w:p>
        </w:tc>
        <w:tc>
          <w:tcPr>
            <w:tcW w:w="1605" w:type="dxa"/>
          </w:tcPr>
          <w:p>
            <w:pPr>
              <w:spacing w:line="500" w:lineRule="exact"/>
              <w:jc w:val="center"/>
              <w:rPr>
                <w:rFonts w:ascii="仿宋_GB2312" w:hAnsi="仿宋" w:eastAsia="仿宋_GB2312" w:cs="仿宋"/>
                <w:b/>
                <w:sz w:val="24"/>
                <w:szCs w:val="24"/>
              </w:rPr>
            </w:pPr>
            <w:r>
              <w:rPr>
                <w:rFonts w:hint="eastAsia" w:ascii="仿宋_GB2312" w:hAnsi="仿宋" w:eastAsia="仿宋_GB2312" w:cs="仿宋"/>
                <w:b/>
                <w:sz w:val="24"/>
                <w:szCs w:val="24"/>
              </w:rPr>
              <w:t>二季度</w:t>
            </w:r>
          </w:p>
        </w:tc>
        <w:tc>
          <w:tcPr>
            <w:tcW w:w="1605" w:type="dxa"/>
          </w:tcPr>
          <w:p>
            <w:pPr>
              <w:spacing w:line="500" w:lineRule="exact"/>
              <w:jc w:val="center"/>
              <w:rPr>
                <w:rFonts w:ascii="仿宋_GB2312" w:hAnsi="仿宋" w:eastAsia="仿宋_GB2312" w:cs="仿宋"/>
                <w:b/>
                <w:sz w:val="24"/>
                <w:szCs w:val="24"/>
              </w:rPr>
            </w:pPr>
            <w:r>
              <w:rPr>
                <w:rFonts w:hint="eastAsia" w:ascii="仿宋_GB2312" w:hAnsi="仿宋" w:eastAsia="仿宋_GB2312" w:cs="仿宋"/>
                <w:b/>
                <w:sz w:val="24"/>
                <w:szCs w:val="24"/>
              </w:rPr>
              <w:t>三季度</w:t>
            </w:r>
          </w:p>
        </w:tc>
        <w:tc>
          <w:tcPr>
            <w:tcW w:w="1605" w:type="dxa"/>
          </w:tcPr>
          <w:p>
            <w:pPr>
              <w:spacing w:line="500" w:lineRule="exact"/>
              <w:jc w:val="center"/>
              <w:rPr>
                <w:rFonts w:ascii="仿宋_GB2312" w:hAnsi="仿宋" w:eastAsia="仿宋_GB2312" w:cs="仿宋"/>
                <w:b/>
                <w:sz w:val="24"/>
                <w:szCs w:val="24"/>
              </w:rPr>
            </w:pPr>
            <w:r>
              <w:rPr>
                <w:rFonts w:hint="eastAsia" w:ascii="仿宋_GB2312" w:hAnsi="仿宋" w:eastAsia="仿宋_GB2312" w:cs="仿宋"/>
                <w:b/>
                <w:sz w:val="24"/>
                <w:szCs w:val="24"/>
              </w:rPr>
              <w:t>四季度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87" w:type="dxa"/>
          </w:tcPr>
          <w:p>
            <w:pPr>
              <w:pStyle w:val="9"/>
              <w:spacing w:line="500" w:lineRule="exact"/>
              <w:ind w:firstLine="0" w:firstLineChars="0"/>
              <w:jc w:val="both"/>
              <w:rPr>
                <w:rFonts w:ascii="仿宋_GB2312" w:hAnsi="仿宋" w:eastAsia="仿宋_GB2312" w:cs="仿宋"/>
                <w:sz w:val="28"/>
                <w:szCs w:val="28"/>
              </w:rPr>
            </w:pPr>
            <w:r>
              <w:rPr>
                <w:rFonts w:hint="eastAsia" w:ascii="仿宋_GB2312" w:hAnsi="仿宋" w:eastAsia="仿宋_GB2312" w:cs="仿宋"/>
                <w:sz w:val="24"/>
                <w:szCs w:val="24"/>
              </w:rPr>
              <w:t>风险综合评级</w:t>
            </w:r>
          </w:p>
        </w:tc>
        <w:tc>
          <w:tcPr>
            <w:tcW w:w="1920" w:type="dxa"/>
          </w:tcPr>
          <w:p>
            <w:pPr>
              <w:pStyle w:val="9"/>
              <w:spacing w:line="500" w:lineRule="exact"/>
              <w:ind w:firstLine="0" w:firstLineChars="0"/>
              <w:jc w:val="both"/>
              <w:rPr>
                <w:rFonts w:ascii="仿宋_GB2312" w:hAnsi="仿宋" w:eastAsia="仿宋_GB2312" w:cs="仿宋"/>
                <w:sz w:val="28"/>
                <w:szCs w:val="28"/>
              </w:rPr>
            </w:pPr>
          </w:p>
        </w:tc>
        <w:tc>
          <w:tcPr>
            <w:tcW w:w="1605" w:type="dxa"/>
          </w:tcPr>
          <w:p>
            <w:pPr>
              <w:pStyle w:val="9"/>
              <w:spacing w:line="500" w:lineRule="exact"/>
              <w:ind w:firstLine="0" w:firstLineChars="0"/>
              <w:jc w:val="both"/>
              <w:rPr>
                <w:rFonts w:ascii="仿宋_GB2312" w:hAnsi="仿宋" w:eastAsia="仿宋_GB2312" w:cs="仿宋"/>
                <w:sz w:val="28"/>
                <w:szCs w:val="28"/>
              </w:rPr>
            </w:pPr>
          </w:p>
        </w:tc>
        <w:tc>
          <w:tcPr>
            <w:tcW w:w="1605" w:type="dxa"/>
          </w:tcPr>
          <w:p>
            <w:pPr>
              <w:pStyle w:val="9"/>
              <w:spacing w:line="500" w:lineRule="exact"/>
              <w:ind w:firstLine="0" w:firstLineChars="0"/>
              <w:jc w:val="both"/>
              <w:rPr>
                <w:rFonts w:ascii="仿宋_GB2312" w:hAnsi="仿宋" w:eastAsia="仿宋_GB2312" w:cs="仿宋"/>
                <w:sz w:val="28"/>
                <w:szCs w:val="28"/>
              </w:rPr>
            </w:pPr>
          </w:p>
        </w:tc>
        <w:tc>
          <w:tcPr>
            <w:tcW w:w="1605" w:type="dxa"/>
          </w:tcPr>
          <w:p>
            <w:pPr>
              <w:pStyle w:val="9"/>
              <w:spacing w:line="500" w:lineRule="exact"/>
              <w:ind w:firstLine="0" w:firstLineChars="0"/>
              <w:jc w:val="both"/>
              <w:rPr>
                <w:rFonts w:ascii="仿宋_GB2312" w:hAnsi="仿宋" w:eastAsia="仿宋_GB2312" w:cs="仿宋"/>
                <w:sz w:val="28"/>
                <w:szCs w:val="28"/>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注：以上数据为经银保监评定并发布的数据，并请附上评级通知截图或复印件。</w:t>
      </w:r>
    </w:p>
    <w:p>
      <w:pPr>
        <w:pStyle w:val="9"/>
        <w:spacing w:line="500" w:lineRule="exact"/>
        <w:ind w:left="0" w:leftChars="0" w:firstLine="640" w:firstLineChars="200"/>
        <w:jc w:val="both"/>
        <w:rPr>
          <w:rFonts w:hint="default" w:ascii="方正仿宋简体" w:hAnsi="方正仿宋简体" w:eastAsia="方正仿宋简体" w:cs="方正仿宋简体"/>
          <w:kern w:val="2"/>
          <w:sz w:val="32"/>
          <w:szCs w:val="32"/>
          <w:u w:val="single"/>
          <w:lang w:val="en-US" w:eastAsia="zh-CN" w:bidi="ar-SA"/>
        </w:rPr>
      </w:pPr>
      <w:r>
        <w:rPr>
          <w:rFonts w:hint="eastAsia" w:ascii="方正仿宋简体" w:hAnsi="方正仿宋简体" w:eastAsia="方正仿宋简体" w:cs="方正仿宋简体"/>
          <w:kern w:val="2"/>
          <w:sz w:val="32"/>
          <w:szCs w:val="32"/>
          <w:lang w:val="en-US" w:eastAsia="zh-CN" w:bidi="ar-SA"/>
        </w:rPr>
        <w:t>3.我公司2020年度综合偿付能力充足率为</w:t>
      </w:r>
      <w:r>
        <w:rPr>
          <w:rFonts w:hint="eastAsia" w:ascii="方正仿宋简体" w:hAnsi="方正仿宋简体" w:eastAsia="方正仿宋简体" w:cs="方正仿宋简体"/>
          <w:kern w:val="2"/>
          <w:sz w:val="32"/>
          <w:szCs w:val="32"/>
          <w:u w:val="single"/>
          <w:lang w:val="en-US" w:eastAsia="zh-CN" w:bidi="ar-SA"/>
        </w:rPr>
        <w:t xml:space="preserve">       </w:t>
      </w:r>
    </w:p>
    <w:p>
      <w:pPr>
        <w:pStyle w:val="9"/>
        <w:spacing w:line="500" w:lineRule="exact"/>
        <w:ind w:firstLine="0" w:firstLineChars="0"/>
        <w:jc w:val="both"/>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（保留小数点后两位）。</w:t>
      </w:r>
    </w:p>
    <w:p>
      <w:pPr>
        <w:spacing w:line="500" w:lineRule="exact"/>
        <w:ind w:firstLine="640" w:firstLineChars="200"/>
        <w:rPr>
          <w:rFonts w:ascii="仿宋_GB2312" w:hAnsi="仿宋" w:eastAsia="仿宋_GB2312" w:cs="仿宋"/>
          <w:sz w:val="28"/>
          <w:szCs w:val="28"/>
        </w:rPr>
      </w:pPr>
      <w:r>
        <w:rPr>
          <w:rFonts w:hint="eastAsia" w:ascii="方正仿宋简体" w:hAnsi="方正仿宋简体" w:eastAsia="方正仿宋简体" w:cs="方正仿宋简体"/>
          <w:kern w:val="2"/>
          <w:sz w:val="32"/>
          <w:szCs w:val="32"/>
          <w:lang w:val="en-US" w:eastAsia="zh-CN" w:bidi="ar-SA"/>
        </w:rPr>
        <w:t>4.近5年我公司在江苏省内船舶行业承保业绩如下：</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2449"/>
        <w:gridCol w:w="170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rFonts w:ascii="仿宋_GB2312" w:hAnsi="仿宋" w:eastAsia="仿宋_GB2312" w:cs="仿宋"/>
                <w:b/>
                <w:sz w:val="24"/>
                <w:szCs w:val="28"/>
              </w:rPr>
            </w:pPr>
            <w:r>
              <w:rPr>
                <w:rFonts w:hint="eastAsia" w:ascii="仿宋_GB2312" w:hAnsi="仿宋" w:eastAsia="仿宋_GB2312" w:cs="仿宋"/>
                <w:b/>
                <w:sz w:val="24"/>
                <w:szCs w:val="28"/>
              </w:rPr>
              <w:t>序号</w:t>
            </w:r>
          </w:p>
        </w:tc>
        <w:tc>
          <w:tcPr>
            <w:tcW w:w="2449" w:type="dxa"/>
            <w:vAlign w:val="center"/>
          </w:tcPr>
          <w:p>
            <w:pPr>
              <w:jc w:val="center"/>
              <w:rPr>
                <w:rFonts w:ascii="仿宋_GB2312" w:hAnsi="仿宋" w:eastAsia="仿宋_GB2312" w:cs="仿宋"/>
                <w:b/>
                <w:sz w:val="24"/>
                <w:szCs w:val="28"/>
              </w:rPr>
            </w:pPr>
            <w:r>
              <w:rPr>
                <w:rFonts w:hint="eastAsia" w:ascii="仿宋_GB2312" w:hAnsi="仿宋" w:eastAsia="仿宋_GB2312" w:cs="仿宋"/>
                <w:b/>
                <w:sz w:val="24"/>
                <w:szCs w:val="28"/>
              </w:rPr>
              <w:t>客户名称</w:t>
            </w:r>
          </w:p>
        </w:tc>
        <w:tc>
          <w:tcPr>
            <w:tcW w:w="1704" w:type="dxa"/>
            <w:vAlign w:val="center"/>
          </w:tcPr>
          <w:p>
            <w:pPr>
              <w:jc w:val="center"/>
              <w:rPr>
                <w:rFonts w:ascii="仿宋_GB2312" w:hAnsi="仿宋" w:eastAsia="仿宋_GB2312" w:cs="仿宋"/>
                <w:b/>
                <w:sz w:val="24"/>
                <w:szCs w:val="28"/>
              </w:rPr>
            </w:pPr>
            <w:r>
              <w:rPr>
                <w:rFonts w:hint="eastAsia" w:ascii="仿宋_GB2312" w:hAnsi="仿宋" w:eastAsia="仿宋_GB2312" w:cs="仿宋"/>
                <w:b/>
                <w:sz w:val="24"/>
                <w:szCs w:val="28"/>
              </w:rPr>
              <w:t>投保时间</w:t>
            </w:r>
          </w:p>
        </w:tc>
        <w:tc>
          <w:tcPr>
            <w:tcW w:w="1705" w:type="dxa"/>
            <w:vAlign w:val="center"/>
          </w:tcPr>
          <w:p>
            <w:pPr>
              <w:jc w:val="center"/>
              <w:rPr>
                <w:rFonts w:ascii="仿宋_GB2312" w:hAnsi="仿宋" w:eastAsia="仿宋_GB2312" w:cs="仿宋"/>
                <w:b/>
                <w:sz w:val="24"/>
                <w:szCs w:val="28"/>
              </w:rPr>
            </w:pPr>
            <w:r>
              <w:rPr>
                <w:rFonts w:hint="eastAsia" w:ascii="仿宋_GB2312" w:hAnsi="仿宋" w:eastAsia="仿宋_GB2312" w:cs="仿宋"/>
                <w:b/>
                <w:sz w:val="24"/>
                <w:szCs w:val="28"/>
              </w:rPr>
              <w:t>投保险种</w:t>
            </w:r>
          </w:p>
        </w:tc>
        <w:tc>
          <w:tcPr>
            <w:tcW w:w="1705" w:type="dxa"/>
            <w:vAlign w:val="center"/>
          </w:tcPr>
          <w:p>
            <w:pPr>
              <w:jc w:val="center"/>
              <w:rPr>
                <w:rFonts w:ascii="仿宋_GB2312" w:hAnsi="仿宋" w:eastAsia="仿宋_GB2312" w:cs="仿宋"/>
                <w:b/>
                <w:sz w:val="24"/>
                <w:szCs w:val="28"/>
              </w:rPr>
            </w:pPr>
            <w:r>
              <w:rPr>
                <w:rFonts w:hint="eastAsia" w:ascii="仿宋_GB2312" w:hAnsi="仿宋" w:eastAsia="仿宋_GB2312" w:cs="仿宋"/>
                <w:b/>
                <w:sz w:val="24"/>
                <w:szCs w:val="28"/>
              </w:rPr>
              <w:t>保险金额</w:t>
            </w:r>
          </w:p>
          <w:p>
            <w:pPr>
              <w:jc w:val="center"/>
              <w:rPr>
                <w:rFonts w:ascii="仿宋_GB2312" w:hAnsi="仿宋" w:eastAsia="仿宋_GB2312" w:cs="仿宋"/>
                <w:b/>
                <w:sz w:val="24"/>
                <w:szCs w:val="28"/>
              </w:rPr>
            </w:pPr>
            <w:r>
              <w:rPr>
                <w:rFonts w:hint="eastAsia" w:ascii="仿宋_GB2312" w:hAnsi="仿宋" w:eastAsia="仿宋_GB2312" w:cs="仿宋"/>
                <w:b/>
                <w:sz w:val="24"/>
                <w:szCs w:val="28"/>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spacing w:line="500" w:lineRule="exact"/>
              <w:jc w:val="center"/>
              <w:rPr>
                <w:rFonts w:ascii="仿宋_GB2312" w:hAnsi="仿宋" w:eastAsia="仿宋_GB2312" w:cs="仿宋"/>
                <w:sz w:val="28"/>
                <w:szCs w:val="28"/>
              </w:rPr>
            </w:pPr>
            <w:r>
              <w:rPr>
                <w:rFonts w:hint="eastAsia" w:ascii="仿宋_GB2312" w:hAnsi="仿宋" w:eastAsia="仿宋_GB2312" w:cs="仿宋"/>
                <w:sz w:val="28"/>
                <w:szCs w:val="28"/>
              </w:rPr>
              <w:t>1</w:t>
            </w:r>
          </w:p>
        </w:tc>
        <w:tc>
          <w:tcPr>
            <w:tcW w:w="2449" w:type="dxa"/>
          </w:tcPr>
          <w:p>
            <w:pPr>
              <w:spacing w:line="500" w:lineRule="exact"/>
              <w:rPr>
                <w:rFonts w:ascii="仿宋_GB2312" w:hAnsi="仿宋" w:eastAsia="仿宋_GB2312" w:cs="仿宋"/>
                <w:sz w:val="28"/>
                <w:szCs w:val="28"/>
              </w:rPr>
            </w:pPr>
          </w:p>
        </w:tc>
        <w:tc>
          <w:tcPr>
            <w:tcW w:w="1704"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spacing w:line="500" w:lineRule="exact"/>
              <w:jc w:val="center"/>
              <w:rPr>
                <w:rFonts w:ascii="仿宋_GB2312" w:hAnsi="仿宋" w:eastAsia="仿宋_GB2312" w:cs="仿宋"/>
                <w:sz w:val="28"/>
                <w:szCs w:val="28"/>
              </w:rPr>
            </w:pPr>
            <w:r>
              <w:rPr>
                <w:rFonts w:hint="eastAsia" w:ascii="仿宋_GB2312" w:hAnsi="仿宋" w:eastAsia="仿宋_GB2312" w:cs="仿宋"/>
                <w:sz w:val="28"/>
                <w:szCs w:val="28"/>
              </w:rPr>
              <w:t>2</w:t>
            </w:r>
          </w:p>
        </w:tc>
        <w:tc>
          <w:tcPr>
            <w:tcW w:w="2449" w:type="dxa"/>
          </w:tcPr>
          <w:p>
            <w:pPr>
              <w:spacing w:line="500" w:lineRule="exact"/>
              <w:rPr>
                <w:rFonts w:ascii="仿宋_GB2312" w:hAnsi="仿宋" w:eastAsia="仿宋_GB2312" w:cs="仿宋"/>
                <w:sz w:val="28"/>
                <w:szCs w:val="28"/>
              </w:rPr>
            </w:pPr>
          </w:p>
        </w:tc>
        <w:tc>
          <w:tcPr>
            <w:tcW w:w="1704"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spacing w:line="500" w:lineRule="exact"/>
              <w:jc w:val="center"/>
              <w:rPr>
                <w:rFonts w:ascii="仿宋_GB2312" w:hAnsi="仿宋" w:eastAsia="仿宋_GB2312" w:cs="仿宋"/>
                <w:sz w:val="28"/>
                <w:szCs w:val="28"/>
              </w:rPr>
            </w:pPr>
            <w:r>
              <w:rPr>
                <w:rFonts w:hint="eastAsia" w:ascii="仿宋_GB2312" w:hAnsi="仿宋" w:eastAsia="仿宋_GB2312" w:cs="仿宋"/>
                <w:sz w:val="28"/>
                <w:szCs w:val="28"/>
              </w:rPr>
              <w:t>3</w:t>
            </w:r>
          </w:p>
        </w:tc>
        <w:tc>
          <w:tcPr>
            <w:tcW w:w="2449" w:type="dxa"/>
          </w:tcPr>
          <w:p>
            <w:pPr>
              <w:spacing w:line="500" w:lineRule="exact"/>
              <w:rPr>
                <w:rFonts w:ascii="仿宋_GB2312" w:hAnsi="仿宋" w:eastAsia="仿宋_GB2312" w:cs="仿宋"/>
                <w:sz w:val="28"/>
                <w:szCs w:val="28"/>
              </w:rPr>
            </w:pPr>
          </w:p>
        </w:tc>
        <w:tc>
          <w:tcPr>
            <w:tcW w:w="1704"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spacing w:line="500" w:lineRule="exact"/>
              <w:jc w:val="center"/>
              <w:rPr>
                <w:rFonts w:ascii="仿宋_GB2312" w:hAnsi="仿宋" w:eastAsia="仿宋_GB2312" w:cs="仿宋"/>
                <w:sz w:val="28"/>
                <w:szCs w:val="28"/>
              </w:rPr>
            </w:pPr>
            <w:r>
              <w:rPr>
                <w:rFonts w:hint="eastAsia" w:ascii="仿宋_GB2312" w:hAnsi="仿宋" w:eastAsia="仿宋_GB2312" w:cs="仿宋"/>
                <w:sz w:val="28"/>
                <w:szCs w:val="28"/>
              </w:rPr>
              <w:t>4</w:t>
            </w:r>
          </w:p>
        </w:tc>
        <w:tc>
          <w:tcPr>
            <w:tcW w:w="2449" w:type="dxa"/>
          </w:tcPr>
          <w:p>
            <w:pPr>
              <w:spacing w:line="500" w:lineRule="exact"/>
              <w:rPr>
                <w:rFonts w:ascii="仿宋_GB2312" w:hAnsi="仿宋" w:eastAsia="仿宋_GB2312" w:cs="仿宋"/>
                <w:sz w:val="28"/>
                <w:szCs w:val="28"/>
              </w:rPr>
            </w:pPr>
          </w:p>
        </w:tc>
        <w:tc>
          <w:tcPr>
            <w:tcW w:w="1704"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spacing w:line="500" w:lineRule="exact"/>
              <w:jc w:val="center"/>
              <w:rPr>
                <w:rFonts w:ascii="仿宋_GB2312" w:hAnsi="仿宋" w:eastAsia="仿宋_GB2312" w:cs="仿宋"/>
                <w:sz w:val="28"/>
                <w:szCs w:val="28"/>
              </w:rPr>
            </w:pPr>
            <w:r>
              <w:rPr>
                <w:rFonts w:hint="eastAsia" w:ascii="仿宋_GB2312" w:hAnsi="仿宋" w:eastAsia="仿宋_GB2312" w:cs="仿宋"/>
                <w:sz w:val="28"/>
                <w:szCs w:val="28"/>
              </w:rPr>
              <w:t>5</w:t>
            </w:r>
          </w:p>
        </w:tc>
        <w:tc>
          <w:tcPr>
            <w:tcW w:w="2449" w:type="dxa"/>
          </w:tcPr>
          <w:p>
            <w:pPr>
              <w:spacing w:line="500" w:lineRule="exact"/>
              <w:rPr>
                <w:rFonts w:ascii="仿宋_GB2312" w:hAnsi="仿宋" w:eastAsia="仿宋_GB2312" w:cs="仿宋"/>
                <w:sz w:val="28"/>
                <w:szCs w:val="28"/>
              </w:rPr>
            </w:pPr>
          </w:p>
        </w:tc>
        <w:tc>
          <w:tcPr>
            <w:tcW w:w="1704"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r>
    </w:tbl>
    <w:p>
      <w:pPr>
        <w:spacing w:line="500" w:lineRule="exact"/>
        <w:ind w:firstLine="640" w:firstLineChars="200"/>
        <w:rPr>
          <w:rFonts w:ascii="楷体" w:hAnsi="楷体" w:eastAsia="楷体" w:cs="仿宋"/>
          <w:sz w:val="28"/>
          <w:szCs w:val="28"/>
        </w:rPr>
      </w:pPr>
      <w:r>
        <w:rPr>
          <w:rFonts w:hint="eastAsia" w:ascii="方正仿宋简体" w:hAnsi="方正仿宋简体" w:eastAsia="方正仿宋简体" w:cs="方正仿宋简体"/>
          <w:sz w:val="32"/>
          <w:szCs w:val="32"/>
          <w:lang w:val="en-US" w:eastAsia="zh-CN"/>
        </w:rPr>
        <w:t>注：仅填写承保金额前五名企业，并请附上合同原件或复印件（价格等条款可进行覆盖处理）。</w:t>
      </w:r>
    </w:p>
    <w:p>
      <w:pPr>
        <w:pStyle w:val="9"/>
        <w:spacing w:line="500" w:lineRule="exact"/>
        <w:ind w:firstLine="560"/>
        <w:jc w:val="both"/>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5.列举对镇江市进行地方支持、贡献或项目合作的事迹，列举公司在行业内、外获得的较大荣誉。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val="en-US" w:eastAsia="zh-CN"/>
        </w:rPr>
        <w:t>（三）</w:t>
      </w:r>
      <w:r>
        <w:rPr>
          <w:rFonts w:hint="eastAsia" w:ascii="方正楷体_GBK" w:hAnsi="方正楷体_GBK" w:eastAsia="方正楷体_GBK" w:cs="方正楷体_GBK"/>
          <w:sz w:val="32"/>
          <w:szCs w:val="32"/>
          <w:highlight w:val="none"/>
          <w:lang w:eastAsia="zh-CN"/>
        </w:rPr>
        <w:t>投标文件格式要求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投标文件需提交以下材料，并按照招标须知第四条要求装订成册：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1.</w:t>
      </w:r>
      <w:r>
        <w:rPr>
          <w:rFonts w:hint="eastAsia" w:ascii="方正仿宋简体" w:hAnsi="方正仿宋简体" w:eastAsia="方正仿宋简体" w:cs="方正仿宋简体"/>
          <w:sz w:val="32"/>
          <w:szCs w:val="32"/>
          <w:highlight w:val="none"/>
          <w:lang w:val="en-US" w:eastAsia="zh-CN"/>
        </w:rPr>
        <w:t>报价函</w:t>
      </w:r>
      <w:r>
        <w:rPr>
          <w:rFonts w:hint="eastAsia" w:ascii="方正仿宋简体" w:hAnsi="方正仿宋简体" w:eastAsia="方正仿宋简体" w:cs="方正仿宋简体"/>
          <w:sz w:val="32"/>
          <w:szCs w:val="32"/>
          <w:highlight w:val="none"/>
        </w:rPr>
        <w:t>（格式按我公司提供的模板，需加盖公章）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2.营业执照副本（复印件，要求清晰反映企业法人年检情况记录和经营范围）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3.保险业务许可证、资质证书、有关鉴定材料及相关荣誉等（复印件）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sz w:val="32"/>
          <w:szCs w:val="32"/>
          <w:highlight w:val="none"/>
          <w:lang w:val="en-US" w:eastAsia="zh-CN"/>
        </w:rPr>
        <w:t>4</w:t>
      </w:r>
      <w:r>
        <w:rPr>
          <w:rFonts w:hint="eastAsia" w:ascii="方正仿宋简体" w:hAnsi="方正仿宋简体" w:eastAsia="方正仿宋简体" w:cs="方正仿宋简体"/>
          <w:sz w:val="32"/>
          <w:szCs w:val="32"/>
          <w:highlight w:val="none"/>
        </w:rPr>
        <w:t>.投标公司综合情况（含公司经营评价结果类别、风险综合评级等评级、综合偿付能力充足率及江苏省内</w:t>
      </w:r>
      <w:r>
        <w:rPr>
          <w:rFonts w:hint="eastAsia" w:ascii="方正仿宋简体" w:hAnsi="方正仿宋简体" w:eastAsia="方正仿宋简体" w:cs="方正仿宋简体"/>
          <w:sz w:val="32"/>
          <w:szCs w:val="32"/>
          <w:highlight w:val="none"/>
          <w:lang w:val="en-US" w:eastAsia="zh-CN"/>
        </w:rPr>
        <w:t>船舶行业</w:t>
      </w:r>
      <w:r>
        <w:rPr>
          <w:rFonts w:hint="eastAsia" w:ascii="方正仿宋简体" w:hAnsi="方正仿宋简体" w:eastAsia="方正仿宋简体" w:cs="方正仿宋简体"/>
          <w:sz w:val="32"/>
          <w:szCs w:val="32"/>
          <w:highlight w:val="none"/>
        </w:rPr>
        <w:t>承</w:t>
      </w:r>
      <w:r>
        <w:rPr>
          <w:rFonts w:hint="eastAsia" w:ascii="方正仿宋简体" w:hAnsi="方正仿宋简体" w:eastAsia="方正仿宋简体" w:cs="方正仿宋简体"/>
          <w:color w:val="auto"/>
          <w:sz w:val="32"/>
          <w:szCs w:val="32"/>
          <w:highlight w:val="none"/>
        </w:rPr>
        <w:t>保业绩，部分需提供合同原件或扫描件）</w:t>
      </w:r>
    </w:p>
    <w:p>
      <w:pPr>
        <w:pStyle w:val="2"/>
        <w:ind w:left="0" w:leftChars="0" w:firstLine="640" w:firstLineChars="200"/>
        <w:rPr>
          <w:rFonts w:hint="default" w:eastAsia="方正仿宋简体"/>
          <w:color w:val="auto"/>
          <w:lang w:val="en-US" w:eastAsia="zh-CN"/>
        </w:rPr>
      </w:pPr>
      <w:r>
        <w:rPr>
          <w:rFonts w:hint="eastAsia" w:eastAsia="方正仿宋简体"/>
          <w:color w:val="auto"/>
          <w:lang w:val="en-US" w:eastAsia="zh-CN"/>
        </w:rPr>
        <w:t>5.投标公司在承保安排、人员组织、业绩经验、方案设计、经营管理和配套服务等方面需提供相对应的资格和能力保险服务方案。</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1"/>
          <w:sz w:val="32"/>
          <w:szCs w:val="32"/>
          <w:u w:val="single"/>
          <w:lang w:val="en-US" w:eastAsia="zh-CN"/>
        </w:rPr>
        <w:t xml:space="preserve"> </w:t>
      </w:r>
      <w:r>
        <w:rPr>
          <w:rFonts w:hint="eastAsia" w:ascii="方正仿宋简体" w:hAnsi="方正仿宋简体" w:eastAsia="方正仿宋简体" w:cs="方正仿宋简体"/>
          <w:sz w:val="32"/>
          <w:szCs w:val="32"/>
          <w:u w:val="single"/>
          <w:lang w:val="en-US" w:eastAsia="zh-CN"/>
        </w:rPr>
        <w:t>一次性网银支付</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rPr>
        <w:t>招标方自收到</w:t>
      </w:r>
      <w:r>
        <w:rPr>
          <w:rFonts w:hint="eastAsia" w:ascii="方正仿宋简体" w:hAnsi="方正仿宋简体" w:eastAsia="方正仿宋简体" w:cs="方正仿宋简体"/>
          <w:sz w:val="32"/>
          <w:szCs w:val="32"/>
          <w:u w:val="single"/>
          <w:lang w:val="en-US" w:eastAsia="zh-CN"/>
        </w:rPr>
        <w:t>中标方开出保单</w:t>
      </w:r>
      <w:r>
        <w:rPr>
          <w:rFonts w:hint="eastAsia" w:ascii="方正仿宋简体" w:hAnsi="方正仿宋简体" w:eastAsia="方正仿宋简体" w:cs="方正仿宋简体"/>
          <w:sz w:val="32"/>
          <w:szCs w:val="32"/>
          <w:u w:val="single"/>
        </w:rPr>
        <w:t>并且收到中标方开具的增值税专用发票后</w:t>
      </w:r>
      <w:r>
        <w:rPr>
          <w:rFonts w:hint="eastAsia" w:ascii="方正仿宋简体" w:hAnsi="方正仿宋简体" w:eastAsia="方正仿宋简体" w:cs="方正仿宋简体"/>
          <w:sz w:val="32"/>
          <w:szCs w:val="32"/>
          <w:u w:val="single"/>
          <w:lang w:val="en-US" w:eastAsia="zh-CN"/>
        </w:rPr>
        <w:t>20个工作日内</w:t>
      </w:r>
      <w:r>
        <w:rPr>
          <w:rFonts w:hint="eastAsia" w:ascii="方正仿宋简体" w:hAnsi="方正仿宋简体" w:eastAsia="方正仿宋简体" w:cs="方正仿宋简体"/>
          <w:sz w:val="32"/>
          <w:szCs w:val="32"/>
          <w:u w:val="single"/>
        </w:rPr>
        <w:t>以</w:t>
      </w:r>
      <w:r>
        <w:rPr>
          <w:rFonts w:hint="eastAsia" w:ascii="方正仿宋简体" w:hAnsi="方正仿宋简体" w:eastAsia="方正仿宋简体" w:cs="方正仿宋简体"/>
          <w:sz w:val="32"/>
          <w:szCs w:val="32"/>
          <w:u w:val="single"/>
          <w:lang w:val="en-US" w:eastAsia="zh-CN"/>
        </w:rPr>
        <w:t>网银</w:t>
      </w:r>
      <w:r>
        <w:rPr>
          <w:rFonts w:hint="eastAsia" w:ascii="方正仿宋简体" w:hAnsi="方正仿宋简体" w:eastAsia="方正仿宋简体" w:cs="方正仿宋简体"/>
          <w:sz w:val="32"/>
          <w:szCs w:val="32"/>
          <w:u w:val="single"/>
        </w:rPr>
        <w:t>方式付款</w:t>
      </w:r>
      <w:r>
        <w:rPr>
          <w:rFonts w:hint="eastAsia" w:ascii="方正仿宋简体" w:hAnsi="方正仿宋简体" w:eastAsia="方正仿宋简体" w:cs="方正仿宋简体"/>
          <w:bCs/>
          <w:color w:val="auto"/>
          <w:kern w:val="1"/>
          <w:sz w:val="32"/>
          <w:szCs w:val="32"/>
          <w:u w:val="single"/>
          <w:lang w:val="en-US" w:eastAsia="zh-CN"/>
        </w:rPr>
        <w:t xml:space="preserve"> </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w:t>
      </w:r>
      <w:r>
        <w:rPr>
          <w:rFonts w:hint="eastAsia" w:ascii="方正仿宋简体" w:hAnsi="方正仿宋简体" w:eastAsia="方正仿宋简体" w:cs="方正仿宋简体"/>
          <w:bCs/>
          <w:color w:val="auto"/>
          <w:kern w:val="1"/>
          <w:sz w:val="32"/>
          <w:szCs w:val="32"/>
          <w:highlight w:val="none"/>
          <w:lang w:val="en-US" w:eastAsia="zh-CN"/>
        </w:rPr>
        <w:t>采用</w:t>
      </w:r>
      <w:r>
        <w:rPr>
          <w:rFonts w:hint="eastAsia" w:ascii="方正仿宋简体" w:hAnsi="方正仿宋简体" w:eastAsia="方正仿宋简体" w:cs="方正仿宋简体"/>
          <w:bCs/>
          <w:color w:val="auto"/>
          <w:kern w:val="1"/>
          <w:sz w:val="32"/>
          <w:szCs w:val="32"/>
        </w:rPr>
        <w:t>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贰</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投标文件请密封邮寄</w:t>
      </w:r>
      <w:r>
        <w:rPr>
          <w:rFonts w:hint="eastAsia" w:ascii="方正仿宋简体" w:hAnsi="方正仿宋简体" w:eastAsia="方正仿宋简体" w:cs="方正仿宋简体"/>
          <w:bCs/>
          <w:color w:val="auto"/>
          <w:kern w:val="1"/>
          <w:sz w:val="32"/>
          <w:szCs w:val="32"/>
        </w:rPr>
        <w:t>：</w:t>
      </w:r>
    </w:p>
    <w:p>
      <w:pPr>
        <w:pStyle w:val="1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公司：</w:t>
      </w:r>
      <w:r>
        <w:rPr>
          <w:rFonts w:hint="eastAsia" w:ascii="方正仿宋简体" w:hAnsi="方正仿宋简体" w:eastAsia="方正仿宋简体" w:cs="方正仿宋简体"/>
          <w:bCs/>
          <w:color w:val="auto"/>
          <w:kern w:val="1"/>
          <w:sz w:val="30"/>
          <w:szCs w:val="30"/>
          <w:lang w:val="en-US" w:eastAsia="zh-CN" w:bidi="ar-SA"/>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江苏兴普物贸有限公司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color w:val="auto"/>
          <w:sz w:val="32"/>
          <w:szCs w:val="32"/>
          <w:lang w:val="en-US" w:eastAsia="zh-CN"/>
        </w:rPr>
        <w:t>王月</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sz w:val="32"/>
          <w:szCs w:val="32"/>
          <w:lang w:val="en-US" w:eastAsia="zh-CN"/>
        </w:rPr>
        <w:t>15952878706</w:t>
      </w:r>
    </w:p>
    <w:p>
      <w:pPr>
        <w:pStyle w:val="2"/>
        <w:rPr>
          <w:rFonts w:hint="default"/>
          <w:lang w:val="en-US" w:eastAsia="zh-CN"/>
        </w:rPr>
      </w:pPr>
      <w:r>
        <w:rPr>
          <w:rFonts w:hint="eastAsia" w:ascii="方正仿宋简体" w:hAnsi="方正仿宋简体" w:eastAsia="方正仿宋简体" w:cs="方正仿宋简体"/>
          <w:sz w:val="32"/>
          <w:szCs w:val="32"/>
          <w:lang w:val="en-US" w:eastAsia="zh-CN"/>
        </w:rPr>
        <w:t xml:space="preserve">            何敏     电话：15805287835</w:t>
      </w:r>
    </w:p>
    <w:p>
      <w:pPr>
        <w:pStyle w:val="8"/>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FF0000"/>
          <w:sz w:val="32"/>
          <w:szCs w:val="32"/>
          <w:lang w:eastAsia="zh-CN"/>
        </w:rPr>
        <w:t>本次采用</w:t>
      </w:r>
      <w:r>
        <w:rPr>
          <w:rFonts w:hint="eastAsia" w:ascii="方正仿宋简体" w:hAnsi="方正仿宋简体" w:eastAsia="方正仿宋简体" w:cs="方正仿宋简体"/>
          <w:color w:val="FF0000"/>
          <w:sz w:val="32"/>
          <w:szCs w:val="32"/>
          <w:lang w:val="en-US" w:eastAsia="zh-CN"/>
        </w:rPr>
        <w:t>该</w:t>
      </w:r>
      <w:r>
        <w:rPr>
          <w:rFonts w:hint="eastAsia" w:ascii="方正仿宋简体" w:hAnsi="方正仿宋简体" w:eastAsia="方正仿宋简体" w:cs="方正仿宋简体"/>
          <w:color w:val="FF0000"/>
          <w:sz w:val="32"/>
          <w:szCs w:val="32"/>
          <w:lang w:eastAsia="zh-CN"/>
        </w:rPr>
        <w:t>评标方式</w:t>
      </w:r>
      <w:r>
        <w:rPr>
          <w:rFonts w:hint="eastAsia" w:ascii="方正仿宋简体" w:hAnsi="方正仿宋简体" w:eastAsia="方正仿宋简体" w:cs="方正仿宋简体"/>
          <w:color w:val="auto"/>
          <w:sz w:val="32"/>
          <w:szCs w:val="32"/>
          <w:lang w:eastAsia="zh-CN"/>
        </w:rPr>
        <w:t>）</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（1）采取综合评审方法进行打分，具体按综合评分=综合能力评分*40%+价格评分*60%，并按综合评分由高到低顺序推选一名中标候选人。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w:t>
      </w:r>
      <w:bookmarkStart w:id="0" w:name="_GoBack"/>
      <w:bookmarkEnd w:id="0"/>
      <w:r>
        <w:rPr>
          <w:rFonts w:hint="eastAsia" w:ascii="方正仿宋简体" w:hAnsi="方正仿宋简体" w:eastAsia="方正仿宋简体" w:cs="方正仿宋简体"/>
          <w:bCs/>
          <w:color w:val="auto"/>
          <w:kern w:val="1"/>
          <w:sz w:val="32"/>
          <w:szCs w:val="32"/>
        </w:rPr>
        <w:t>的问题，经招标人评标小组评定，可作废标处理。</w:t>
      </w:r>
    </w:p>
    <w:p>
      <w:pPr>
        <w:pStyle w:val="8"/>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bCs/>
          <w:color w:val="auto"/>
          <w:kern w:val="1"/>
          <w:sz w:val="32"/>
          <w:szCs w:val="32"/>
          <w:lang w:val="en-US" w:eastAsia="zh-CN"/>
        </w:rPr>
      </w:pPr>
      <w:r>
        <w:rPr>
          <w:rFonts w:hint="eastAsia" w:ascii="方正楷体_GBK" w:hAnsi="方正楷体_GBK" w:eastAsia="方正楷体_GBK" w:cs="方正楷体_GBK"/>
          <w:bCs/>
          <w:color w:val="auto"/>
          <w:kern w:val="1"/>
          <w:sz w:val="32"/>
          <w:szCs w:val="32"/>
          <w:lang w:val="en-US" w:eastAsia="zh-CN"/>
        </w:rPr>
        <w:t>（一）签订合同</w:t>
      </w:r>
    </w:p>
    <w:p>
      <w:pPr>
        <w:keepNext w:val="0"/>
        <w:keepLines w:val="0"/>
        <w:kinsoku/>
        <w:wordWrap/>
        <w:overflowPunct/>
        <w:topLinePunct w:val="0"/>
        <w:autoSpaceDE/>
        <w:autoSpaceDN/>
        <w:bidi w:val="0"/>
        <w:spacing w:line="600" w:lineRule="exact"/>
        <w:ind w:firstLine="614" w:firstLineChars="192"/>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中标公司收到中标通知后3日内与我公司签订保险合同。合同内容应与招标文件内容保持一致。</w:t>
      </w:r>
    </w:p>
    <w:p>
      <w:pPr>
        <w:pStyle w:val="2"/>
        <w:ind w:left="0" w:leftChars="0" w:firstLine="640" w:firstLineChars="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_GBK" w:hAnsi="方正仿宋_GBK" w:eastAsia="方正仿宋_GBK" w:cs="方正仿宋_GBK"/>
          <w:sz w:val="32"/>
          <w:szCs w:val="32"/>
        </w:rPr>
        <w:t>.</w:t>
      </w:r>
      <w:r>
        <w:rPr>
          <w:rFonts w:hint="eastAsia" w:ascii="方正仿宋简体" w:hAnsi="方正仿宋简体" w:eastAsia="方正仿宋简体" w:cs="方正仿宋简体"/>
          <w:sz w:val="32"/>
          <w:szCs w:val="32"/>
        </w:rPr>
        <w:t>合同一式</w:t>
      </w:r>
      <w:r>
        <w:rPr>
          <w:rFonts w:hint="eastAsia" w:ascii="方正仿宋简体" w:hAnsi="方正仿宋简体" w:eastAsia="方正仿宋简体" w:cs="方正仿宋简体"/>
          <w:sz w:val="32"/>
          <w:szCs w:val="32"/>
          <w:lang w:val="en-US" w:eastAsia="zh-CN"/>
        </w:rPr>
        <w:t>四</w:t>
      </w:r>
      <w:r>
        <w:rPr>
          <w:rFonts w:hint="eastAsia" w:ascii="方正仿宋简体" w:hAnsi="方正仿宋简体" w:eastAsia="方正仿宋简体" w:cs="方正仿宋简体"/>
          <w:sz w:val="32"/>
          <w:szCs w:val="32"/>
        </w:rPr>
        <w:t>份：中标公司一份、我公司</w:t>
      </w: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rPr>
        <w:t>份。</w:t>
      </w:r>
    </w:p>
    <w:p>
      <w:pPr>
        <w:pStyle w:val="2"/>
        <w:ind w:left="0" w:leftChars="0" w:firstLine="640" w:firstLineChars="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color w:val="FF0000"/>
          <w:sz w:val="32"/>
          <w:szCs w:val="32"/>
          <w:lang w:val="en-US" w:eastAsia="zh-CN"/>
        </w:rPr>
        <w:t>本保险如中标人无法独立承保，可进行共保，但在投标文件中需作出说明，中标人必须是首席承保人，并提供共保保险公司保险份额清单及其营业执照。</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Cs/>
          <w:color w:val="auto"/>
          <w:kern w:val="1"/>
          <w:sz w:val="32"/>
          <w:szCs w:val="32"/>
          <w:lang w:val="en-US" w:eastAsia="zh-CN"/>
        </w:rPr>
      </w:pPr>
      <w:r>
        <w:rPr>
          <w:rFonts w:hint="eastAsia" w:ascii="方正楷体_GBK" w:hAnsi="方正楷体_GBK" w:eastAsia="方正楷体_GBK" w:cs="方正楷体_GBK"/>
          <w:bCs/>
          <w:color w:val="auto"/>
          <w:kern w:val="1"/>
          <w:sz w:val="32"/>
          <w:szCs w:val="32"/>
          <w:lang w:val="en-US" w:eastAsia="zh-CN"/>
        </w:rPr>
        <w:t>（二）保险公司服务机构</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成立工作服务小组，明确负责人，负责协调承保、理赔服务等相关事宜。</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Cs/>
          <w:color w:val="auto"/>
          <w:kern w:val="1"/>
          <w:sz w:val="32"/>
          <w:szCs w:val="32"/>
          <w:lang w:val="en-US" w:eastAsia="zh-CN"/>
        </w:rPr>
      </w:pPr>
      <w:r>
        <w:rPr>
          <w:rFonts w:hint="eastAsia" w:ascii="方正楷体_GBK" w:hAnsi="方正楷体_GBK" w:eastAsia="方正楷体_GBK" w:cs="方正楷体_GBK"/>
          <w:bCs/>
          <w:color w:val="auto"/>
          <w:kern w:val="1"/>
          <w:sz w:val="32"/>
          <w:szCs w:val="32"/>
          <w:lang w:val="en-US" w:eastAsia="zh-CN"/>
        </w:rPr>
        <w:t>（三）查勘</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lang w:val="en-US" w:eastAsia="zh-CN"/>
        </w:rPr>
        <w:t>1.</w:t>
      </w:r>
      <w:r>
        <w:rPr>
          <w:rFonts w:hint="eastAsia" w:ascii="方正仿宋简体" w:hAnsi="方正仿宋简体" w:eastAsia="方正仿宋简体" w:cs="方正仿宋简体"/>
          <w:sz w:val="32"/>
          <w:szCs w:val="32"/>
        </w:rPr>
        <w:t>设立 365 天无休日，24小时报案、咨询受理电话；</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lang w:val="en-US" w:eastAsia="zh-CN"/>
        </w:rPr>
        <w:t>2.</w:t>
      </w:r>
      <w:r>
        <w:rPr>
          <w:rFonts w:hint="eastAsia" w:ascii="方正仿宋简体" w:hAnsi="方正仿宋简体" w:eastAsia="方正仿宋简体" w:cs="方正仿宋简体"/>
          <w:sz w:val="32"/>
          <w:szCs w:val="32"/>
        </w:rPr>
        <w:t>接到我公司报案后，应迅速组织人员或委托出险当地保险分公司人员赶赴现场查勘，如果财产尚未脱离危险状态，现场查勘人员应立即会同我公司人员或有关部门采取必要合理的措施，尽量减少保险财产的损失。</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Cs/>
          <w:color w:val="auto"/>
          <w:kern w:val="1"/>
          <w:sz w:val="32"/>
          <w:szCs w:val="32"/>
          <w:lang w:val="en-US" w:eastAsia="zh-CN"/>
        </w:rPr>
      </w:pPr>
      <w:r>
        <w:rPr>
          <w:rFonts w:hint="eastAsia" w:ascii="方正楷体_GBK" w:hAnsi="方正楷体_GBK" w:eastAsia="方正楷体_GBK" w:cs="方正楷体_GBK"/>
          <w:bCs/>
          <w:color w:val="auto"/>
          <w:kern w:val="1"/>
          <w:sz w:val="32"/>
          <w:szCs w:val="32"/>
          <w:lang w:val="en-US" w:eastAsia="zh-CN"/>
        </w:rPr>
        <w:t>（四）索赔时效</w:t>
      </w:r>
    </w:p>
    <w:p>
      <w:pPr>
        <w:pStyle w:val="7"/>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我公司将完整的索赔资料提交给保险公司后，保险公司应在七个工作日内将理赔款项支付给我公司。</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五</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如因投标人不能正常履约，严重影响招标人生产经营活动的，招标人将依法追究投标方法律责任。</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六</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七</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八</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lang w:val="en-US" w:eastAsia="zh-CN"/>
        </w:rPr>
        <w:t>中供应商管理</w:t>
      </w:r>
      <w:r>
        <w:rPr>
          <w:rFonts w:hint="eastAsia" w:ascii="方正仿宋简体" w:hAnsi="方正仿宋简体" w:eastAsia="方正仿宋简体" w:cs="方正仿宋简体"/>
          <w:bCs/>
          <w:color w:val="auto"/>
          <w:kern w:val="1"/>
          <w:sz w:val="32"/>
          <w:szCs w:val="32"/>
          <w:highlight w:val="none"/>
        </w:rPr>
        <w:t>对投标人进行管理考核（详见附件</w:t>
      </w: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w:t>
      </w:r>
    </w:p>
    <w:p>
      <w:pPr>
        <w:pStyle w:val="7"/>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highlight w:val="none"/>
          <w:lang w:eastAsia="zh-CN"/>
        </w:rPr>
      </w:pPr>
      <w:r>
        <w:rPr>
          <w:rFonts w:hint="eastAsia" w:ascii="方正楷体_GBK" w:hAnsi="方正楷体_GBK" w:eastAsia="方正楷体_GBK" w:cs="方正楷体_GBK"/>
          <w:bCs/>
          <w:color w:val="auto"/>
          <w:kern w:val="1"/>
          <w:sz w:val="32"/>
          <w:szCs w:val="32"/>
          <w:highlight w:val="none"/>
          <w:lang w:eastAsia="zh-CN"/>
        </w:rPr>
        <w:t>（九）</w:t>
      </w:r>
      <w:r>
        <w:rPr>
          <w:rFonts w:hint="eastAsia" w:ascii="方正仿宋简体" w:hAnsi="方正仿宋简体" w:eastAsia="方正仿宋简体" w:cs="方正仿宋简体"/>
          <w:bCs/>
          <w:color w:val="auto"/>
          <w:kern w:val="1"/>
          <w:sz w:val="32"/>
          <w:szCs w:val="32"/>
          <w:highlight w:val="none"/>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highlight w:val="none"/>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十</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本次招标</w:t>
      </w:r>
      <w:r>
        <w:rPr>
          <w:rFonts w:hint="eastAsia" w:ascii="方正仿宋简体" w:hAnsi="方正仿宋简体" w:eastAsia="方正仿宋简体" w:cs="方正仿宋简体"/>
          <w:bCs/>
          <w:color w:val="auto"/>
          <w:kern w:val="1"/>
          <w:sz w:val="32"/>
          <w:szCs w:val="32"/>
          <w:highlight w:val="none"/>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highlight w:val="none"/>
        </w:rPr>
        <w:t>解释权归</w:t>
      </w:r>
      <w:r>
        <w:rPr>
          <w:rFonts w:hint="eastAsia" w:ascii="方正仿宋简体" w:hAnsi="方正仿宋简体" w:eastAsia="方正仿宋简体" w:cs="方正仿宋简体"/>
          <w:bCs/>
          <w:color w:val="auto"/>
          <w:kern w:val="1"/>
          <w:sz w:val="32"/>
          <w:szCs w:val="32"/>
          <w:highlight w:val="none"/>
          <w:lang w:val="en-US" w:eastAsia="zh-CN"/>
        </w:rPr>
        <w:t>江苏兴普物贸有限公司</w:t>
      </w:r>
      <w:r>
        <w:rPr>
          <w:rFonts w:hint="eastAsia" w:ascii="方正仿宋简体" w:hAnsi="方正仿宋简体" w:eastAsia="方正仿宋简体" w:cs="方正仿宋简体"/>
          <w:bCs/>
          <w:color w:val="auto"/>
          <w:kern w:val="1"/>
          <w:sz w:val="32"/>
          <w:szCs w:val="32"/>
          <w:highlight w:val="none"/>
        </w:rPr>
        <w:t>所有。</w:t>
      </w:r>
      <w:r>
        <w:rPr>
          <w:rFonts w:hint="eastAsia" w:ascii="方正仿宋简体" w:hAnsi="方正仿宋简体" w:eastAsia="方正仿宋简体" w:cs="方正仿宋简体"/>
          <w:bCs/>
          <w:color w:val="auto"/>
          <w:kern w:val="1"/>
          <w:sz w:val="32"/>
          <w:szCs w:val="32"/>
        </w:rPr>
        <w:t>　　</w:t>
      </w:r>
    </w:p>
    <w:p>
      <w:pPr>
        <w:rPr>
          <w:rFonts w:hint="eastAsia"/>
        </w:rPr>
      </w:pPr>
      <w:r>
        <w:rPr>
          <w:rFonts w:hint="eastAsia" w:ascii="方正仿宋简体" w:hAnsi="方正仿宋简体" w:eastAsia="方正仿宋简体" w:cs="方正仿宋简体"/>
          <w:bCs/>
          <w:color w:val="auto"/>
          <w:kern w:val="1"/>
          <w:sz w:val="32"/>
          <w:szCs w:val="32"/>
        </w:rPr>
        <w:br w:type="page"/>
      </w: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江苏兴普物贸有限公司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lang w:val="en-US" w:eastAsia="zh-CN"/>
        </w:rPr>
        <w:t>2年总价</w:t>
      </w:r>
      <w:r>
        <w:rPr>
          <w:rFonts w:hint="eastAsia" w:ascii="方正仿宋简体" w:hAnsi="方正仿宋简体" w:eastAsia="方正仿宋简体" w:cs="方正仿宋简体"/>
          <w:color w:val="auto"/>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pPr w:leftFromText="180" w:rightFromText="180" w:vertAnchor="text" w:horzAnchor="page" w:tblpX="2056" w:tblpY="264"/>
        <w:tblOverlap w:val="never"/>
        <w:tblW w:w="8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946"/>
        <w:gridCol w:w="5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946" w:type="dxa"/>
            <w:vAlign w:val="center"/>
          </w:tcPr>
          <w:p>
            <w:pPr>
              <w:keepNext w:val="0"/>
              <w:keepLines w:val="0"/>
              <w:widowControl/>
              <w:suppressLineNumbers w:val="0"/>
              <w:jc w:val="center"/>
              <w:rPr>
                <w:rFonts w:hint="eastAsia" w:ascii="方正黑体_GBK" w:hAnsi="方正黑体_GBK" w:eastAsia="方正黑体_GBK" w:cs="方正黑体_GBK"/>
                <w:b/>
                <w:color w:val="000000"/>
                <w:sz w:val="32"/>
                <w:szCs w:val="32"/>
              </w:rPr>
            </w:pPr>
            <w:r>
              <w:rPr>
                <w:rFonts w:hint="eastAsia" w:ascii="方正黑体_GBK" w:hAnsi="方正黑体_GBK" w:eastAsia="方正黑体_GBK" w:cs="方正黑体_GBK"/>
                <w:b/>
                <w:bCs/>
                <w:color w:val="000000"/>
                <w:kern w:val="0"/>
                <w:sz w:val="32"/>
                <w:szCs w:val="32"/>
                <w:lang w:val="en-US" w:eastAsia="zh-CN" w:bidi="ar"/>
              </w:rPr>
              <w:t>保障项目</w:t>
            </w:r>
          </w:p>
        </w:tc>
        <w:tc>
          <w:tcPr>
            <w:tcW w:w="5055" w:type="dxa"/>
            <w:vAlign w:val="center"/>
          </w:tcPr>
          <w:p>
            <w:pPr>
              <w:keepNext w:val="0"/>
              <w:keepLines w:val="0"/>
              <w:widowControl/>
              <w:suppressLineNumbers w:val="0"/>
              <w:jc w:val="center"/>
              <w:rPr>
                <w:rFonts w:hint="eastAsia" w:ascii="方正黑体_GBK" w:hAnsi="方正黑体_GBK" w:eastAsia="方正黑体_GBK" w:cs="方正黑体_GBK"/>
                <w:b/>
                <w:color w:val="000000"/>
                <w:sz w:val="32"/>
                <w:szCs w:val="32"/>
              </w:rPr>
            </w:pPr>
            <w:r>
              <w:rPr>
                <w:rFonts w:hint="eastAsia" w:ascii="方正黑体_GBK" w:hAnsi="方正黑体_GBK" w:eastAsia="方正黑体_GBK" w:cs="方正黑体_GBK"/>
                <w:b/>
                <w:bCs/>
                <w:color w:val="000000"/>
                <w:kern w:val="0"/>
                <w:sz w:val="32"/>
                <w:szCs w:val="32"/>
                <w:lang w:val="en-US" w:eastAsia="zh-CN" w:bidi="ar"/>
              </w:rPr>
              <w:t>赔偿限额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widowControl/>
              <w:suppressLineNumbers w:val="0"/>
              <w:jc w:val="left"/>
              <w:rPr>
                <w:rFonts w:hint="eastAsia" w:ascii="方正仿宋简体" w:hAnsi="方正仿宋简体" w:eastAsia="方正仿宋简体" w:cs="方正仿宋简体"/>
                <w:bCs/>
                <w:color w:val="000000"/>
                <w:sz w:val="28"/>
                <w:szCs w:val="28"/>
              </w:rPr>
            </w:pPr>
            <w:r>
              <w:rPr>
                <w:rFonts w:hint="eastAsia" w:ascii="方正仿宋简体" w:hAnsi="方正仿宋简体" w:eastAsia="方正仿宋简体" w:cs="方正仿宋简体"/>
                <w:color w:val="000000"/>
                <w:kern w:val="0"/>
                <w:sz w:val="28"/>
                <w:szCs w:val="28"/>
                <w:lang w:val="en-US" w:eastAsia="zh-CN" w:bidi="ar"/>
              </w:rPr>
              <w:t>意外身故、残疾给付</w:t>
            </w:r>
          </w:p>
        </w:tc>
        <w:tc>
          <w:tcPr>
            <w:tcW w:w="5055" w:type="dxa"/>
            <w:vAlign w:val="center"/>
          </w:tcPr>
          <w:p>
            <w:pPr>
              <w:keepNext w:val="0"/>
              <w:keepLines w:val="0"/>
              <w:widowControl/>
              <w:suppressLineNumbers w:val="0"/>
              <w:jc w:val="left"/>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lang w:val="en-US" w:eastAsia="zh-CN" w:bidi="ar"/>
              </w:rPr>
              <w:t>每人赔偿限额 100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widowControl/>
              <w:suppressLineNumbers w:val="0"/>
              <w:jc w:val="left"/>
              <w:rPr>
                <w:rFonts w:hint="eastAsia" w:ascii="方正仿宋简体" w:hAnsi="方正仿宋简体" w:eastAsia="方正仿宋简体" w:cs="方正仿宋简体"/>
                <w:bCs/>
                <w:color w:val="000000"/>
                <w:sz w:val="28"/>
                <w:szCs w:val="28"/>
              </w:rPr>
            </w:pPr>
            <w:r>
              <w:rPr>
                <w:rFonts w:hint="eastAsia" w:ascii="方正仿宋简体" w:hAnsi="方正仿宋简体" w:eastAsia="方正仿宋简体" w:cs="方正仿宋简体"/>
                <w:color w:val="000000"/>
                <w:kern w:val="0"/>
                <w:sz w:val="28"/>
                <w:szCs w:val="28"/>
                <w:lang w:val="en-US" w:eastAsia="zh-CN" w:bidi="ar"/>
              </w:rPr>
              <w:t>意外伤害医疗</w:t>
            </w:r>
          </w:p>
        </w:tc>
        <w:tc>
          <w:tcPr>
            <w:tcW w:w="5055" w:type="dxa"/>
            <w:vAlign w:val="center"/>
          </w:tcPr>
          <w:p>
            <w:pPr>
              <w:keepNext w:val="0"/>
              <w:keepLines w:val="0"/>
              <w:widowControl/>
              <w:suppressLineNumbers w:val="0"/>
              <w:jc w:val="left"/>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lang w:val="en-US" w:eastAsia="zh-CN" w:bidi="ar"/>
              </w:rPr>
              <w:t>每人赔偿限额 1.5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widowControl/>
              <w:suppressLineNumbers w:val="0"/>
              <w:jc w:val="left"/>
              <w:rPr>
                <w:rFonts w:hint="eastAsia" w:ascii="方正仿宋简体" w:hAnsi="方正仿宋简体" w:eastAsia="方正仿宋简体" w:cs="方正仿宋简体"/>
                <w:bCs/>
                <w:color w:val="000000"/>
                <w:kern w:val="0"/>
                <w:sz w:val="28"/>
                <w:szCs w:val="28"/>
              </w:rPr>
            </w:pPr>
            <w:r>
              <w:rPr>
                <w:rFonts w:hint="eastAsia" w:ascii="方正仿宋简体" w:hAnsi="方正仿宋简体" w:eastAsia="方正仿宋简体" w:cs="方正仿宋简体"/>
                <w:color w:val="000000"/>
                <w:kern w:val="0"/>
                <w:sz w:val="28"/>
                <w:szCs w:val="28"/>
                <w:lang w:val="en-US" w:eastAsia="zh-CN" w:bidi="ar"/>
              </w:rPr>
              <w:t>意外住院津贴</w:t>
            </w:r>
          </w:p>
        </w:tc>
        <w:tc>
          <w:tcPr>
            <w:tcW w:w="5055" w:type="dxa"/>
            <w:vAlign w:val="center"/>
          </w:tcPr>
          <w:p>
            <w:pPr>
              <w:keepNext w:val="0"/>
              <w:keepLines w:val="0"/>
              <w:widowControl/>
              <w:suppressLineNumbers w:val="0"/>
              <w:jc w:val="left"/>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lang w:val="en-US" w:eastAsia="zh-CN" w:bidi="ar"/>
              </w:rPr>
              <w:t>意外住院津贴为每人赔偿限额 90 元/天， 最高赔付 180 天，住院津贴无免赔</w:t>
            </w:r>
          </w:p>
        </w:tc>
      </w:tr>
    </w:tbl>
    <w:p>
      <w:pPr>
        <w:pStyle w:val="2"/>
        <w:ind w:left="0" w:leftChars="0" w:firstLine="0" w:firstLineChars="0"/>
        <w:rPr>
          <w:rFonts w:hint="eastAsia"/>
          <w:lang w:val="en-US" w:eastAsia="zh-CN"/>
        </w:rPr>
      </w:pPr>
    </w:p>
    <w:p>
      <w:pPr>
        <w:pStyle w:val="2"/>
        <w:ind w:left="0" w:leftChars="0" w:firstLine="0" w:firstLineChars="0"/>
        <w:rPr>
          <w:rFonts w:hint="default"/>
          <w:u w:val="single"/>
          <w:lang w:val="en-US" w:eastAsia="zh-CN"/>
        </w:rPr>
      </w:pPr>
      <w:r>
        <w:rPr>
          <w:rFonts w:hint="eastAsia"/>
          <w:lang w:val="en-US" w:eastAsia="zh-CN"/>
        </w:rPr>
        <w:t>每人含税价：</w:t>
      </w:r>
      <w:r>
        <w:rPr>
          <w:rFonts w:hint="eastAsia"/>
          <w:u w:val="single"/>
          <w:lang w:val="en-US" w:eastAsia="zh-CN"/>
        </w:rPr>
        <w:t xml:space="preserve">                      元/人/年，</w:t>
      </w:r>
      <w:r>
        <w:rPr>
          <w:rFonts w:hint="eastAsia"/>
          <w:u w:val="none"/>
          <w:lang w:val="en-US" w:eastAsia="zh-CN"/>
        </w:rPr>
        <w:t>（13人）总价：</w:t>
      </w:r>
      <w:r>
        <w:rPr>
          <w:rFonts w:hint="eastAsia"/>
          <w:u w:val="single"/>
          <w:lang w:val="en-US" w:eastAsia="zh-CN"/>
        </w:rPr>
        <w:t xml:space="preserve">           （元/年）。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.免赔条件</w:t>
      </w:r>
      <w:r>
        <w:rPr>
          <w:rFonts w:hint="eastAsia" w:ascii="方正仿宋简体" w:hAnsi="方正仿宋简体" w:eastAsia="方正仿宋简体" w:cs="方正仿宋简体"/>
          <w:color w:val="auto"/>
          <w:kern w:val="1"/>
          <w:sz w:val="32"/>
          <w:szCs w:val="32"/>
        </w:rPr>
        <w:t>：</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1.人身伤亡：无免赔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color w:val="000000"/>
          <w:kern w:val="0"/>
          <w:sz w:val="28"/>
          <w:szCs w:val="28"/>
          <w:lang w:val="en-US" w:eastAsia="zh-CN" w:bidi="ar"/>
        </w:rPr>
      </w:pPr>
      <w:r>
        <w:rPr>
          <w:rFonts w:hint="eastAsia" w:ascii="方正仿宋简体" w:hAnsi="方正仿宋简体" w:eastAsia="方正仿宋简体" w:cs="方正仿宋简体"/>
          <w:sz w:val="32"/>
          <w:szCs w:val="32"/>
          <w:lang w:val="en-US" w:eastAsia="zh-CN"/>
        </w:rPr>
        <w:t>2.免赔：每次事故每人医疗费用免赔 100 元</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FF"/>
          <w:kern w:val="1"/>
          <w:sz w:val="32"/>
          <w:szCs w:val="32"/>
          <w:lang w:eastAsia="zh-CN"/>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我方承诺遵守招标文件中的全部规定；参加此次招标事项前三年内，在经营活动中没有重大违法记录</w:t>
      </w:r>
      <w:r>
        <w:rPr>
          <w:rFonts w:hint="eastAsia" w:ascii="方正仿宋简体" w:hAnsi="方正仿宋简体" w:eastAsia="方正仿宋简体" w:cs="方正仿宋简体"/>
          <w:color w:val="auto"/>
          <w:kern w:val="1"/>
          <w:sz w:val="32"/>
          <w:szCs w:val="32"/>
          <w:lang w:eastAsia="zh-CN"/>
        </w:rPr>
        <w:t>；有良好的银行资信和商业信誉，没有处于被责令停业、财产被接管、冻结、破产状态；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r>
        <w:rPr>
          <w:rFonts w:hint="eastAsia" w:ascii="方正小标宋简体" w:hAnsi="宋体" w:eastAsia="方正小标宋简体" w:cs="宋体"/>
          <w:b/>
          <w:bCs/>
          <w:sz w:val="32"/>
          <w:szCs w:val="32"/>
        </w:rPr>
        <w:br w:type="page"/>
      </w:r>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10"/>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right"/>
      <w:rPr>
        <w:rFonts w:hint="eastAsia" w:eastAsia="宋体"/>
        <w:lang w:eastAsia="zh-CN"/>
      </w:rPr>
    </w:pPr>
    <w:r>
      <w:rPr>
        <w:rFonts w:hint="eastAsia"/>
        <w:lang w:eastAsia="zh-CN"/>
      </w:rPr>
      <w:t>江苏兴普物贸有限公司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46814DB"/>
    <w:rsid w:val="05AC0379"/>
    <w:rsid w:val="08F4320D"/>
    <w:rsid w:val="0CCD460E"/>
    <w:rsid w:val="0D6E3A8A"/>
    <w:rsid w:val="0E243A05"/>
    <w:rsid w:val="1229294F"/>
    <w:rsid w:val="123650F9"/>
    <w:rsid w:val="1444244B"/>
    <w:rsid w:val="14EA645D"/>
    <w:rsid w:val="19181A3A"/>
    <w:rsid w:val="1BF82A57"/>
    <w:rsid w:val="225D796E"/>
    <w:rsid w:val="24150BCD"/>
    <w:rsid w:val="24EC6623"/>
    <w:rsid w:val="262D3A65"/>
    <w:rsid w:val="263C4E62"/>
    <w:rsid w:val="2BBD3669"/>
    <w:rsid w:val="2E16582B"/>
    <w:rsid w:val="2E4116FA"/>
    <w:rsid w:val="31262BAF"/>
    <w:rsid w:val="330F093A"/>
    <w:rsid w:val="34E37CA8"/>
    <w:rsid w:val="359E47FF"/>
    <w:rsid w:val="35B72FCB"/>
    <w:rsid w:val="35DA3E68"/>
    <w:rsid w:val="379A3E49"/>
    <w:rsid w:val="391E61C3"/>
    <w:rsid w:val="3E9042AA"/>
    <w:rsid w:val="416D2207"/>
    <w:rsid w:val="43EC12FF"/>
    <w:rsid w:val="43EF75F5"/>
    <w:rsid w:val="44E509D4"/>
    <w:rsid w:val="47F365E3"/>
    <w:rsid w:val="4DC0511E"/>
    <w:rsid w:val="4FAC5BC3"/>
    <w:rsid w:val="4FC61FF0"/>
    <w:rsid w:val="4FED6C4F"/>
    <w:rsid w:val="50846203"/>
    <w:rsid w:val="538763B9"/>
    <w:rsid w:val="55DC546E"/>
    <w:rsid w:val="579C3951"/>
    <w:rsid w:val="596D6B7C"/>
    <w:rsid w:val="5C6D5F77"/>
    <w:rsid w:val="5CEC747F"/>
    <w:rsid w:val="65074105"/>
    <w:rsid w:val="66202ABE"/>
    <w:rsid w:val="66441755"/>
    <w:rsid w:val="66CF713B"/>
    <w:rsid w:val="67C1041C"/>
    <w:rsid w:val="68961ACE"/>
    <w:rsid w:val="69515E26"/>
    <w:rsid w:val="6D9745DB"/>
    <w:rsid w:val="6F9E54E7"/>
    <w:rsid w:val="726141AB"/>
    <w:rsid w:val="7406451D"/>
    <w:rsid w:val="756A3232"/>
    <w:rsid w:val="77DC1105"/>
    <w:rsid w:val="783458C3"/>
    <w:rsid w:val="7A1E0C67"/>
    <w:rsid w:val="7B044DE1"/>
    <w:rsid w:val="7C5A4544"/>
    <w:rsid w:val="7D076E1F"/>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5">
    <w:name w:val="Normal Indent"/>
    <w:basedOn w:val="1"/>
    <w:qFormat/>
    <w:uiPriority w:val="99"/>
    <w:pPr>
      <w:ind w:firstLine="420" w:firstLine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Body Text Indent 2"/>
    <w:basedOn w:val="1"/>
    <w:qFormat/>
    <w:uiPriority w:val="99"/>
    <w:pPr>
      <w:ind w:firstLine="1040" w:firstLineChars="200"/>
      <w:jc w:val="center"/>
    </w:pPr>
    <w:rPr>
      <w:rFonts w:ascii="黑体" w:eastAsia="黑体"/>
      <w:sz w:val="52"/>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table" w:styleId="14">
    <w:name w:val="Table Grid"/>
    <w:basedOn w:val="13"/>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5701</Words>
  <Characters>5923</Characters>
  <Lines>24</Lines>
  <Paragraphs>6</Paragraphs>
  <TotalTime>2</TotalTime>
  <ScaleCrop>false</ScaleCrop>
  <LinksUpToDate>false</LinksUpToDate>
  <CharactersWithSpaces>6138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2023-06-12T07:41:55Z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165A4C1E449C43AEB4B39EC0A430023C_13</vt:lpwstr>
  </property>
</Properties>
</file>