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20230706港口电仪材料采购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合同签订生效后25天内供货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2"/>
          <w:szCs w:val="32"/>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2023年7月18日上午10点整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2023年7月18日上午10点整</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5"/>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1"/>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134"/>
        <w:gridCol w:w="2694"/>
        <w:gridCol w:w="1701"/>
        <w:gridCol w:w="425"/>
        <w:gridCol w:w="425"/>
        <w:gridCol w:w="983"/>
        <w:gridCol w:w="1002"/>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134"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2694"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701"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425" w:type="dxa"/>
            <w:vAlign w:val="center"/>
          </w:tcPr>
          <w:p>
            <w:pPr>
              <w:widowControl/>
              <w:spacing w:line="2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425" w:type="dxa"/>
            <w:vAlign w:val="center"/>
          </w:tcPr>
          <w:p>
            <w:pPr>
              <w:widowControl/>
              <w:spacing w:line="20" w:lineRule="atLeast"/>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3"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1002"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08" w:type="dxa"/>
            <w:vAlign w:val="center"/>
          </w:tcPr>
          <w:p>
            <w:pPr>
              <w:widowControl/>
              <w:spacing w:line="2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jc w:val="center"/>
              <w:rPr>
                <w:rFonts w:ascii="宋体" w:hAnsi="宋体" w:cs="宋体"/>
                <w:color w:val="000000"/>
                <w:sz w:val="18"/>
                <w:szCs w:val="18"/>
              </w:rPr>
            </w:pPr>
            <w:r>
              <w:rPr>
                <w:rFonts w:hint="eastAsia"/>
                <w:color w:val="000000"/>
                <w:sz w:val="18"/>
                <w:szCs w:val="18"/>
              </w:rPr>
              <w:t>1</w:t>
            </w:r>
          </w:p>
        </w:tc>
        <w:tc>
          <w:tcPr>
            <w:tcW w:w="1134" w:type="dxa"/>
            <w:vAlign w:val="center"/>
          </w:tcPr>
          <w:p>
            <w:pPr>
              <w:rPr>
                <w:rFonts w:ascii="宋体" w:hAnsi="宋体" w:cs="宋体"/>
                <w:sz w:val="16"/>
                <w:szCs w:val="16"/>
              </w:rPr>
            </w:pPr>
            <w:r>
              <w:rPr>
                <w:rFonts w:hint="eastAsia"/>
                <w:sz w:val="16"/>
                <w:szCs w:val="16"/>
              </w:rPr>
              <w:t>流量积算仪</w:t>
            </w:r>
          </w:p>
        </w:tc>
        <w:tc>
          <w:tcPr>
            <w:tcW w:w="2694" w:type="dxa"/>
            <w:vAlign w:val="center"/>
          </w:tcPr>
          <w:p>
            <w:pPr>
              <w:rPr>
                <w:rFonts w:ascii="宋体" w:hAnsi="宋体" w:cs="宋体"/>
                <w:color w:val="000000"/>
                <w:sz w:val="16"/>
                <w:szCs w:val="16"/>
              </w:rPr>
            </w:pPr>
            <w:r>
              <w:rPr>
                <w:rFonts w:hint="eastAsia"/>
                <w:color w:val="000000"/>
                <w:sz w:val="16"/>
                <w:szCs w:val="16"/>
              </w:rPr>
              <w:t>（供电电源：220V 输出信号：4-20mA 输入信号：1-5000Hz）</w:t>
            </w:r>
          </w:p>
        </w:tc>
        <w:tc>
          <w:tcPr>
            <w:tcW w:w="1701" w:type="dxa"/>
            <w:vAlign w:val="center"/>
          </w:tcPr>
          <w:p>
            <w:pPr>
              <w:rPr>
                <w:rFonts w:ascii="宋体" w:hAnsi="宋体" w:cs="宋体"/>
                <w:color w:val="000000"/>
                <w:sz w:val="16"/>
                <w:szCs w:val="16"/>
              </w:rPr>
            </w:pPr>
            <w:r>
              <w:rPr>
                <w:rFonts w:hint="eastAsia"/>
                <w:color w:val="000000"/>
                <w:sz w:val="16"/>
                <w:szCs w:val="16"/>
              </w:rPr>
              <w:t>LXB-3E1 精度等级0.5</w:t>
            </w:r>
          </w:p>
        </w:tc>
        <w:tc>
          <w:tcPr>
            <w:tcW w:w="425" w:type="dxa"/>
            <w:vAlign w:val="center"/>
          </w:tcPr>
          <w:p>
            <w:pPr>
              <w:jc w:val="center"/>
              <w:rPr>
                <w:rFonts w:ascii="宋体" w:hAnsi="宋体" w:cs="宋体"/>
                <w:color w:val="000000"/>
                <w:sz w:val="16"/>
                <w:szCs w:val="16"/>
              </w:rPr>
            </w:pPr>
            <w:r>
              <w:rPr>
                <w:rFonts w:hint="eastAsia"/>
                <w:color w:val="000000"/>
                <w:sz w:val="16"/>
                <w:szCs w:val="16"/>
              </w:rPr>
              <w:t>只</w:t>
            </w:r>
          </w:p>
        </w:tc>
        <w:tc>
          <w:tcPr>
            <w:tcW w:w="425" w:type="dxa"/>
            <w:vAlign w:val="center"/>
          </w:tcPr>
          <w:p>
            <w:pPr>
              <w:jc w:val="center"/>
              <w:rPr>
                <w:rFonts w:ascii="宋体" w:hAnsi="宋体" w:cs="宋体"/>
                <w:color w:val="000000"/>
                <w:sz w:val="16"/>
                <w:szCs w:val="16"/>
              </w:rPr>
            </w:pPr>
            <w:r>
              <w:rPr>
                <w:rFonts w:hint="eastAsia"/>
                <w:color w:val="000000"/>
                <w:sz w:val="16"/>
                <w:szCs w:val="16"/>
              </w:rPr>
              <w:t>1</w:t>
            </w:r>
          </w:p>
        </w:tc>
        <w:tc>
          <w:tcPr>
            <w:tcW w:w="983"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2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jc w:val="center"/>
              <w:rPr>
                <w:rFonts w:ascii="宋体" w:hAnsi="宋体" w:cs="宋体"/>
                <w:color w:val="000000"/>
                <w:sz w:val="18"/>
                <w:szCs w:val="18"/>
              </w:rPr>
            </w:pPr>
            <w:r>
              <w:rPr>
                <w:rFonts w:hint="eastAsia"/>
                <w:color w:val="000000"/>
                <w:sz w:val="18"/>
                <w:szCs w:val="18"/>
              </w:rPr>
              <w:t>2</w:t>
            </w:r>
          </w:p>
        </w:tc>
        <w:tc>
          <w:tcPr>
            <w:tcW w:w="1134" w:type="dxa"/>
            <w:vAlign w:val="center"/>
          </w:tcPr>
          <w:p>
            <w:pPr>
              <w:rPr>
                <w:rFonts w:ascii="宋体" w:hAnsi="宋体" w:cs="宋体"/>
                <w:color w:val="000000"/>
                <w:sz w:val="16"/>
                <w:szCs w:val="16"/>
              </w:rPr>
            </w:pPr>
            <w:r>
              <w:rPr>
                <w:rFonts w:hint="eastAsia"/>
                <w:color w:val="000000"/>
                <w:sz w:val="16"/>
                <w:szCs w:val="16"/>
              </w:rPr>
              <w:t>网线钳</w:t>
            </w:r>
          </w:p>
        </w:tc>
        <w:tc>
          <w:tcPr>
            <w:tcW w:w="2694" w:type="dxa"/>
            <w:vAlign w:val="center"/>
          </w:tcPr>
          <w:p>
            <w:pPr>
              <w:rPr>
                <w:rFonts w:ascii="宋体" w:hAnsi="宋体" w:cs="宋体"/>
                <w:color w:val="000000"/>
                <w:sz w:val="16"/>
                <w:szCs w:val="16"/>
              </w:rPr>
            </w:pPr>
            <w:r>
              <w:rPr>
                <w:rFonts w:hint="eastAsia"/>
                <w:color w:val="000000"/>
                <w:sz w:val="16"/>
                <w:szCs w:val="16"/>
              </w:rPr>
              <w:t>世达8寸</w:t>
            </w:r>
          </w:p>
        </w:tc>
        <w:tc>
          <w:tcPr>
            <w:tcW w:w="1701" w:type="dxa"/>
            <w:vAlign w:val="center"/>
          </w:tcPr>
          <w:p>
            <w:pPr>
              <w:rPr>
                <w:rFonts w:ascii="宋体" w:hAnsi="宋体" w:cs="宋体"/>
                <w:color w:val="000000"/>
                <w:sz w:val="16"/>
                <w:szCs w:val="16"/>
              </w:rPr>
            </w:pPr>
            <w:r>
              <w:rPr>
                <w:rFonts w:hint="eastAsia"/>
                <w:color w:val="000000"/>
                <w:sz w:val="16"/>
                <w:szCs w:val="16"/>
              </w:rPr>
              <w:t>91119</w:t>
            </w:r>
          </w:p>
        </w:tc>
        <w:tc>
          <w:tcPr>
            <w:tcW w:w="425" w:type="dxa"/>
            <w:vAlign w:val="center"/>
          </w:tcPr>
          <w:p>
            <w:pPr>
              <w:jc w:val="center"/>
              <w:rPr>
                <w:rFonts w:ascii="宋体" w:hAnsi="宋体" w:cs="宋体"/>
                <w:color w:val="000000"/>
                <w:sz w:val="16"/>
                <w:szCs w:val="16"/>
              </w:rPr>
            </w:pPr>
            <w:r>
              <w:rPr>
                <w:rFonts w:hint="eastAsia"/>
                <w:color w:val="000000"/>
                <w:sz w:val="16"/>
                <w:szCs w:val="16"/>
              </w:rPr>
              <w:t>把</w:t>
            </w:r>
          </w:p>
        </w:tc>
        <w:tc>
          <w:tcPr>
            <w:tcW w:w="425" w:type="dxa"/>
            <w:vAlign w:val="center"/>
          </w:tcPr>
          <w:p>
            <w:pPr>
              <w:jc w:val="center"/>
              <w:rPr>
                <w:rFonts w:ascii="宋体" w:hAnsi="宋体" w:cs="宋体"/>
                <w:color w:val="000000"/>
                <w:sz w:val="16"/>
                <w:szCs w:val="16"/>
              </w:rPr>
            </w:pPr>
            <w:r>
              <w:rPr>
                <w:rFonts w:hint="eastAsia"/>
                <w:color w:val="000000"/>
                <w:sz w:val="16"/>
                <w:szCs w:val="16"/>
              </w:rPr>
              <w:t>1</w:t>
            </w:r>
          </w:p>
        </w:tc>
        <w:tc>
          <w:tcPr>
            <w:tcW w:w="983"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2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jc w:val="center"/>
              <w:rPr>
                <w:rFonts w:ascii="宋体" w:hAnsi="宋体" w:cs="宋体"/>
                <w:color w:val="000000"/>
                <w:sz w:val="18"/>
                <w:szCs w:val="18"/>
              </w:rPr>
            </w:pPr>
            <w:r>
              <w:rPr>
                <w:rFonts w:hint="eastAsia"/>
                <w:color w:val="000000"/>
                <w:sz w:val="18"/>
                <w:szCs w:val="18"/>
              </w:rPr>
              <w:t>3</w:t>
            </w:r>
          </w:p>
        </w:tc>
        <w:tc>
          <w:tcPr>
            <w:tcW w:w="1134" w:type="dxa"/>
            <w:vAlign w:val="center"/>
          </w:tcPr>
          <w:p>
            <w:pPr>
              <w:rPr>
                <w:rFonts w:ascii="宋体" w:hAnsi="宋体" w:cs="宋体"/>
                <w:color w:val="000000"/>
                <w:sz w:val="16"/>
                <w:szCs w:val="16"/>
              </w:rPr>
            </w:pPr>
            <w:r>
              <w:rPr>
                <w:rFonts w:hint="eastAsia"/>
                <w:color w:val="000000"/>
                <w:sz w:val="16"/>
                <w:szCs w:val="16"/>
              </w:rPr>
              <w:t>LED投光灯</w:t>
            </w:r>
          </w:p>
        </w:tc>
        <w:tc>
          <w:tcPr>
            <w:tcW w:w="2694" w:type="dxa"/>
            <w:vAlign w:val="center"/>
          </w:tcPr>
          <w:p>
            <w:pPr>
              <w:rPr>
                <w:rFonts w:ascii="宋体" w:hAnsi="宋体" w:cs="宋体"/>
                <w:color w:val="000000"/>
                <w:sz w:val="16"/>
                <w:szCs w:val="16"/>
              </w:rPr>
            </w:pPr>
            <w:r>
              <w:rPr>
                <w:rFonts w:hint="eastAsia"/>
                <w:color w:val="000000"/>
                <w:sz w:val="16"/>
                <w:szCs w:val="16"/>
              </w:rPr>
              <w:t>色温2700K 黄光 防护等级IP65 整灯光效5050</w:t>
            </w:r>
          </w:p>
        </w:tc>
        <w:tc>
          <w:tcPr>
            <w:tcW w:w="1701" w:type="dxa"/>
            <w:vAlign w:val="center"/>
          </w:tcPr>
          <w:p>
            <w:pPr>
              <w:rPr>
                <w:rFonts w:ascii="宋体" w:hAnsi="宋体" w:cs="宋体"/>
                <w:sz w:val="16"/>
                <w:szCs w:val="16"/>
              </w:rPr>
            </w:pPr>
            <w:r>
              <w:rPr>
                <w:rFonts w:hint="eastAsia"/>
                <w:sz w:val="16"/>
                <w:szCs w:val="16"/>
              </w:rPr>
              <w:t>TGD02—320W(支架式)</w:t>
            </w:r>
          </w:p>
        </w:tc>
        <w:tc>
          <w:tcPr>
            <w:tcW w:w="425" w:type="dxa"/>
            <w:vAlign w:val="center"/>
          </w:tcPr>
          <w:p>
            <w:pPr>
              <w:jc w:val="center"/>
              <w:rPr>
                <w:rFonts w:ascii="宋体" w:hAnsi="宋体" w:cs="宋体"/>
                <w:color w:val="000000"/>
                <w:sz w:val="16"/>
                <w:szCs w:val="16"/>
              </w:rPr>
            </w:pPr>
            <w:r>
              <w:rPr>
                <w:rFonts w:hint="eastAsia"/>
                <w:color w:val="000000"/>
                <w:sz w:val="16"/>
                <w:szCs w:val="16"/>
              </w:rPr>
              <w:t>只</w:t>
            </w:r>
          </w:p>
        </w:tc>
        <w:tc>
          <w:tcPr>
            <w:tcW w:w="425" w:type="dxa"/>
            <w:vAlign w:val="center"/>
          </w:tcPr>
          <w:p>
            <w:pPr>
              <w:jc w:val="center"/>
              <w:rPr>
                <w:rFonts w:ascii="宋体" w:hAnsi="宋体" w:cs="宋体"/>
                <w:color w:val="000000"/>
                <w:sz w:val="16"/>
                <w:szCs w:val="16"/>
              </w:rPr>
            </w:pPr>
            <w:r>
              <w:rPr>
                <w:rFonts w:hint="eastAsia"/>
                <w:color w:val="000000"/>
                <w:sz w:val="16"/>
                <w:szCs w:val="16"/>
              </w:rPr>
              <w:t>20</w:t>
            </w:r>
          </w:p>
        </w:tc>
        <w:tc>
          <w:tcPr>
            <w:tcW w:w="983"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2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426" w:type="dxa"/>
            <w:vAlign w:val="center"/>
          </w:tcPr>
          <w:p>
            <w:pPr>
              <w:jc w:val="center"/>
              <w:rPr>
                <w:rFonts w:ascii="宋体" w:hAnsi="宋体" w:cs="宋体"/>
                <w:color w:val="000000"/>
                <w:sz w:val="18"/>
                <w:szCs w:val="18"/>
              </w:rPr>
            </w:pPr>
            <w:r>
              <w:rPr>
                <w:rFonts w:hint="eastAsia"/>
                <w:color w:val="000000"/>
                <w:sz w:val="18"/>
                <w:szCs w:val="18"/>
              </w:rPr>
              <w:t>4</w:t>
            </w:r>
          </w:p>
        </w:tc>
        <w:tc>
          <w:tcPr>
            <w:tcW w:w="1134" w:type="dxa"/>
            <w:vAlign w:val="center"/>
          </w:tcPr>
          <w:p>
            <w:pPr>
              <w:rPr>
                <w:rFonts w:ascii="宋体" w:hAnsi="宋体" w:cs="宋体"/>
                <w:color w:val="000000"/>
                <w:sz w:val="16"/>
                <w:szCs w:val="16"/>
              </w:rPr>
            </w:pPr>
            <w:r>
              <w:rPr>
                <w:rFonts w:hint="eastAsia"/>
                <w:color w:val="000000"/>
                <w:sz w:val="16"/>
                <w:szCs w:val="16"/>
              </w:rPr>
              <w:t>控制电箱</w:t>
            </w:r>
          </w:p>
        </w:tc>
        <w:tc>
          <w:tcPr>
            <w:tcW w:w="2694" w:type="dxa"/>
            <w:vAlign w:val="center"/>
          </w:tcPr>
          <w:p>
            <w:pPr>
              <w:rPr>
                <w:rFonts w:ascii="宋体" w:hAnsi="宋体" w:cs="宋体"/>
                <w:color w:val="000000"/>
                <w:sz w:val="16"/>
                <w:szCs w:val="16"/>
              </w:rPr>
            </w:pPr>
            <w:r>
              <w:rPr>
                <w:rFonts w:hint="eastAsia"/>
                <w:color w:val="000000"/>
                <w:sz w:val="16"/>
                <w:szCs w:val="16"/>
              </w:rPr>
              <w:t>广场灯时控开关箱（断路器施耐德2P-32A、AD16指示灯*2、LA38平头按钮*2、LA3811X/2旋钮开关、KG316T时控开关、CJX2-3201交流接触器、RT18-32X熔断器1P-带熔芯6A、TB接线端子*3 ）  IP65 1进1出 G3/4</w:t>
            </w:r>
          </w:p>
        </w:tc>
        <w:tc>
          <w:tcPr>
            <w:tcW w:w="1701" w:type="dxa"/>
            <w:vAlign w:val="center"/>
          </w:tcPr>
          <w:p>
            <w:pPr>
              <w:rPr>
                <w:rFonts w:ascii="宋体" w:hAnsi="宋体" w:cs="宋体"/>
                <w:color w:val="FF0000"/>
                <w:sz w:val="16"/>
                <w:szCs w:val="16"/>
              </w:rPr>
            </w:pPr>
            <w:r>
              <w:rPr>
                <w:rFonts w:hint="eastAsia"/>
                <w:sz w:val="16"/>
                <w:szCs w:val="16"/>
              </w:rPr>
              <w:t>（箱体材质）304</w:t>
            </w:r>
          </w:p>
        </w:tc>
        <w:tc>
          <w:tcPr>
            <w:tcW w:w="425" w:type="dxa"/>
            <w:vAlign w:val="center"/>
          </w:tcPr>
          <w:p>
            <w:pPr>
              <w:jc w:val="center"/>
              <w:rPr>
                <w:rFonts w:ascii="宋体" w:hAnsi="宋体" w:cs="宋体"/>
                <w:color w:val="000000"/>
                <w:sz w:val="16"/>
                <w:szCs w:val="16"/>
              </w:rPr>
            </w:pPr>
            <w:r>
              <w:rPr>
                <w:rFonts w:hint="eastAsia"/>
                <w:color w:val="000000"/>
                <w:sz w:val="16"/>
                <w:szCs w:val="16"/>
              </w:rPr>
              <w:t>只</w:t>
            </w:r>
          </w:p>
        </w:tc>
        <w:tc>
          <w:tcPr>
            <w:tcW w:w="425" w:type="dxa"/>
            <w:vAlign w:val="center"/>
          </w:tcPr>
          <w:p>
            <w:pPr>
              <w:jc w:val="center"/>
              <w:rPr>
                <w:rFonts w:ascii="宋体" w:hAnsi="宋体" w:cs="宋体"/>
                <w:color w:val="000000"/>
                <w:sz w:val="16"/>
                <w:szCs w:val="16"/>
              </w:rPr>
            </w:pPr>
            <w:r>
              <w:rPr>
                <w:rFonts w:hint="eastAsia"/>
                <w:color w:val="000000"/>
                <w:sz w:val="16"/>
                <w:szCs w:val="16"/>
              </w:rPr>
              <w:t>2</w:t>
            </w:r>
          </w:p>
        </w:tc>
        <w:tc>
          <w:tcPr>
            <w:tcW w:w="983"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1002" w:type="dxa"/>
            <w:vAlign w:val="center"/>
          </w:tcPr>
          <w:p>
            <w:pPr>
              <w:widowControl/>
              <w:spacing w:line="20" w:lineRule="atLeast"/>
              <w:jc w:val="center"/>
              <w:rPr>
                <w:rFonts w:hint="eastAsia" w:ascii="方正仿宋简体" w:hAnsi="方正仿宋简体" w:eastAsia="方正仿宋简体" w:cs="方正仿宋简体"/>
                <w:szCs w:val="21"/>
              </w:rPr>
            </w:pPr>
          </w:p>
        </w:tc>
        <w:tc>
          <w:tcPr>
            <w:tcW w:w="708" w:type="dxa"/>
            <w:vAlign w:val="center"/>
          </w:tcPr>
          <w:p>
            <w:pPr>
              <w:widowControl/>
              <w:spacing w:line="2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955" w:type="dxa"/>
            <w:gridSpan w:val="4"/>
            <w:vAlign w:val="center"/>
          </w:tcPr>
          <w:p>
            <w:pPr>
              <w:widowControl/>
              <w:spacing w:line="2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543" w:type="dxa"/>
            <w:gridSpan w:val="5"/>
            <w:vAlign w:val="center"/>
          </w:tcPr>
          <w:p>
            <w:pPr>
              <w:widowControl/>
              <w:spacing w:line="2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rPr>
          <w:rFonts w:ascii="方正仿宋简体" w:hAnsi="方正仿宋简体" w:eastAsia="方正仿宋简体" w:cs="方正仿宋简体"/>
          <w:sz w:val="32"/>
          <w:szCs w:val="32"/>
        </w:rPr>
      </w:pPr>
    </w:p>
    <w:p>
      <w:pPr>
        <w:rPr>
          <w:rFonts w:ascii="方正小标宋简体" w:hAnsi="宋体" w:eastAsia="方正小标宋简体" w:cs="宋体"/>
          <w:b/>
          <w:bCs/>
          <w:sz w:val="32"/>
          <w:szCs w:val="32"/>
        </w:rPr>
      </w:pPr>
    </w:p>
    <w:p>
      <w:pPr>
        <w:pStyle w:val="4"/>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9"/>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买受人：镇江海纳川物流产业发展有限责任公司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p>
      <w:pPr>
        <w:spacing w:line="600" w:lineRule="exact"/>
        <w:jc w:val="left"/>
        <w:rPr>
          <w:rFonts w:ascii="方正仿宋简体" w:hAnsi="方正仿宋简体" w:eastAsia="方正仿宋简体" w:cs="方正仿宋简体"/>
          <w:sz w:val="32"/>
          <w:szCs w:val="32"/>
        </w:rPr>
      </w:pPr>
    </w:p>
    <w:tbl>
      <w:tblPr>
        <w:tblStyle w:val="11"/>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3"/>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3.本协议项下的所有合同、函件、通知等以上述通讯方式送达对方公司所在地，均视为法律上的有效通知和送达，不论对方是否签收或拒收。若上述联系方式发生变化，则应及时以书面方式通知对方。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1"/>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买受人：镇江海纳川物流产业发展有限责任公司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住所：镇江市谏壁镇越河街50号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开户银行：镇江市工商银行谏壁支行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帐号：1104 0703 0900 0001 648</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本页为镇江海纳川物流产业发展有限责任公司与***公司于****年*月*日签订的《产品买卖合同》（编号：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7"/>
                  <w:jc w:val="center"/>
                </w:pPr>
                <w:r>
                  <w:fldChar w:fldCharType="begin"/>
                </w:r>
                <w:r>
                  <w:instrText xml:space="preserve"> PAGE  \* MERGEFORMAT </w:instrText>
                </w:r>
                <w:r>
                  <w:fldChar w:fldCharType="separate"/>
                </w:r>
                <w:r>
                  <w:t>20</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30F87"/>
    <w:rsid w:val="000310BC"/>
    <w:rsid w:val="0003693D"/>
    <w:rsid w:val="00063E06"/>
    <w:rsid w:val="000A22DB"/>
    <w:rsid w:val="000C1845"/>
    <w:rsid w:val="000D65FE"/>
    <w:rsid w:val="000D6A23"/>
    <w:rsid w:val="00103A8D"/>
    <w:rsid w:val="00115EEC"/>
    <w:rsid w:val="001260B7"/>
    <w:rsid w:val="00160290"/>
    <w:rsid w:val="00166793"/>
    <w:rsid w:val="0018234A"/>
    <w:rsid w:val="001915A1"/>
    <w:rsid w:val="00193418"/>
    <w:rsid w:val="00196EA5"/>
    <w:rsid w:val="001A7FE6"/>
    <w:rsid w:val="001C3F61"/>
    <w:rsid w:val="001C6356"/>
    <w:rsid w:val="001F16BE"/>
    <w:rsid w:val="00210C67"/>
    <w:rsid w:val="002133E5"/>
    <w:rsid w:val="0024696A"/>
    <w:rsid w:val="002B3E65"/>
    <w:rsid w:val="002F51AC"/>
    <w:rsid w:val="002F66BD"/>
    <w:rsid w:val="0031037C"/>
    <w:rsid w:val="00325814"/>
    <w:rsid w:val="00331F42"/>
    <w:rsid w:val="00355E41"/>
    <w:rsid w:val="003732C8"/>
    <w:rsid w:val="00380BAA"/>
    <w:rsid w:val="0038382E"/>
    <w:rsid w:val="00383D99"/>
    <w:rsid w:val="00384194"/>
    <w:rsid w:val="00394D6B"/>
    <w:rsid w:val="003B4E51"/>
    <w:rsid w:val="003C384A"/>
    <w:rsid w:val="00413897"/>
    <w:rsid w:val="00423C19"/>
    <w:rsid w:val="004424E8"/>
    <w:rsid w:val="00466243"/>
    <w:rsid w:val="00471C24"/>
    <w:rsid w:val="004875EB"/>
    <w:rsid w:val="004975D5"/>
    <w:rsid w:val="004C1280"/>
    <w:rsid w:val="004C289D"/>
    <w:rsid w:val="004E5116"/>
    <w:rsid w:val="004F5E27"/>
    <w:rsid w:val="00527733"/>
    <w:rsid w:val="0053268D"/>
    <w:rsid w:val="005D4F71"/>
    <w:rsid w:val="0061433F"/>
    <w:rsid w:val="00647477"/>
    <w:rsid w:val="006734DC"/>
    <w:rsid w:val="006835A9"/>
    <w:rsid w:val="00690C7A"/>
    <w:rsid w:val="00692AC2"/>
    <w:rsid w:val="00693CB5"/>
    <w:rsid w:val="006C09FB"/>
    <w:rsid w:val="006D00BD"/>
    <w:rsid w:val="006D3CEC"/>
    <w:rsid w:val="006D5E62"/>
    <w:rsid w:val="0070428B"/>
    <w:rsid w:val="00711ACD"/>
    <w:rsid w:val="007254B5"/>
    <w:rsid w:val="0072662D"/>
    <w:rsid w:val="00753CD1"/>
    <w:rsid w:val="00781AF0"/>
    <w:rsid w:val="00786EDE"/>
    <w:rsid w:val="007875CD"/>
    <w:rsid w:val="007D12CA"/>
    <w:rsid w:val="007D630F"/>
    <w:rsid w:val="007E0D6B"/>
    <w:rsid w:val="007E6E47"/>
    <w:rsid w:val="0083404A"/>
    <w:rsid w:val="00842B41"/>
    <w:rsid w:val="00856599"/>
    <w:rsid w:val="00857658"/>
    <w:rsid w:val="00882A3F"/>
    <w:rsid w:val="008C59B9"/>
    <w:rsid w:val="008C785B"/>
    <w:rsid w:val="008D2F65"/>
    <w:rsid w:val="008D5377"/>
    <w:rsid w:val="00900A5B"/>
    <w:rsid w:val="0091028A"/>
    <w:rsid w:val="0093613E"/>
    <w:rsid w:val="00975ECA"/>
    <w:rsid w:val="00981E93"/>
    <w:rsid w:val="009A29A7"/>
    <w:rsid w:val="009C7CE7"/>
    <w:rsid w:val="009D1883"/>
    <w:rsid w:val="009D21BB"/>
    <w:rsid w:val="00A013FB"/>
    <w:rsid w:val="00A30621"/>
    <w:rsid w:val="00A63D7F"/>
    <w:rsid w:val="00A7381A"/>
    <w:rsid w:val="00A81560"/>
    <w:rsid w:val="00AB6095"/>
    <w:rsid w:val="00AC569D"/>
    <w:rsid w:val="00AF29F9"/>
    <w:rsid w:val="00B01341"/>
    <w:rsid w:val="00B0144D"/>
    <w:rsid w:val="00B353E5"/>
    <w:rsid w:val="00B50C56"/>
    <w:rsid w:val="00B51C96"/>
    <w:rsid w:val="00B7406B"/>
    <w:rsid w:val="00B74619"/>
    <w:rsid w:val="00B82A10"/>
    <w:rsid w:val="00B82CED"/>
    <w:rsid w:val="00BD78FB"/>
    <w:rsid w:val="00BF2809"/>
    <w:rsid w:val="00C258E8"/>
    <w:rsid w:val="00C41533"/>
    <w:rsid w:val="00C56465"/>
    <w:rsid w:val="00C743A3"/>
    <w:rsid w:val="00C97E7F"/>
    <w:rsid w:val="00D24639"/>
    <w:rsid w:val="00D32CC0"/>
    <w:rsid w:val="00D74586"/>
    <w:rsid w:val="00DA002C"/>
    <w:rsid w:val="00DD194E"/>
    <w:rsid w:val="00E45A9C"/>
    <w:rsid w:val="00E50D02"/>
    <w:rsid w:val="00E74639"/>
    <w:rsid w:val="00E9659A"/>
    <w:rsid w:val="00EB7745"/>
    <w:rsid w:val="00ED1B47"/>
    <w:rsid w:val="00ED29A1"/>
    <w:rsid w:val="00F0109D"/>
    <w:rsid w:val="00F16E4B"/>
    <w:rsid w:val="00F32DB5"/>
    <w:rsid w:val="00F33B17"/>
    <w:rsid w:val="00F45B42"/>
    <w:rsid w:val="00F75185"/>
    <w:rsid w:val="00FA1409"/>
    <w:rsid w:val="00FF1217"/>
    <w:rsid w:val="00FF61CA"/>
    <w:rsid w:val="09E67744"/>
    <w:rsid w:val="0CCD460E"/>
    <w:rsid w:val="1444244B"/>
    <w:rsid w:val="14EA645D"/>
    <w:rsid w:val="19181A3A"/>
    <w:rsid w:val="225D796E"/>
    <w:rsid w:val="24EC6623"/>
    <w:rsid w:val="2BBD3669"/>
    <w:rsid w:val="2E16582B"/>
    <w:rsid w:val="2E4116FA"/>
    <w:rsid w:val="31262BAF"/>
    <w:rsid w:val="330F093A"/>
    <w:rsid w:val="34E37CA8"/>
    <w:rsid w:val="359E47FF"/>
    <w:rsid w:val="35B72FCB"/>
    <w:rsid w:val="35DA3E68"/>
    <w:rsid w:val="3793012E"/>
    <w:rsid w:val="379A3E49"/>
    <w:rsid w:val="391E61C3"/>
    <w:rsid w:val="3F3D735A"/>
    <w:rsid w:val="40D519B8"/>
    <w:rsid w:val="416D2207"/>
    <w:rsid w:val="43EC12FF"/>
    <w:rsid w:val="44366C11"/>
    <w:rsid w:val="44E509D4"/>
    <w:rsid w:val="4ADD1BA1"/>
    <w:rsid w:val="4B0853C3"/>
    <w:rsid w:val="4DC0511E"/>
    <w:rsid w:val="4FAC5BC3"/>
    <w:rsid w:val="4FC61FF0"/>
    <w:rsid w:val="50846203"/>
    <w:rsid w:val="538763B9"/>
    <w:rsid w:val="540463E4"/>
    <w:rsid w:val="55DC546E"/>
    <w:rsid w:val="579C3951"/>
    <w:rsid w:val="57F90679"/>
    <w:rsid w:val="596D6B7C"/>
    <w:rsid w:val="5CEC747F"/>
    <w:rsid w:val="65741BF2"/>
    <w:rsid w:val="66202ABE"/>
    <w:rsid w:val="66441755"/>
    <w:rsid w:val="66CF713B"/>
    <w:rsid w:val="683F6E19"/>
    <w:rsid w:val="68961ACE"/>
    <w:rsid w:val="69C166FE"/>
    <w:rsid w:val="6AE467D8"/>
    <w:rsid w:val="6D9745DB"/>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0"/>
    <w:pPr>
      <w:spacing w:before="240" w:after="60"/>
      <w:jc w:val="center"/>
      <w:outlineLvl w:val="0"/>
    </w:pPr>
    <w:rPr>
      <w:rFonts w:ascii="Cambria" w:hAnsi="Cambria"/>
      <w:b/>
      <w:bCs/>
      <w:kern w:val="0"/>
      <w:sz w:val="32"/>
      <w:szCs w:val="32"/>
    </w:rPr>
  </w:style>
  <w:style w:type="paragraph" w:styleId="10">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3">
    <w:name w:val="列出段落11"/>
    <w:basedOn w:val="1"/>
    <w:qFormat/>
    <w:uiPriority w:val="99"/>
    <w:pPr>
      <w:ind w:firstLine="420" w:firstLineChars="200"/>
    </w:pPr>
  </w:style>
  <w:style w:type="paragraph" w:customStyle="1" w:styleId="14">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5">
    <w:name w:val="列出段落1"/>
    <w:basedOn w:val="1"/>
    <w:qFormat/>
    <w:uiPriority w:val="34"/>
    <w:pPr>
      <w:ind w:firstLine="420" w:firstLineChars="200"/>
    </w:pPr>
  </w:style>
  <w:style w:type="character" w:customStyle="1" w:styleId="16">
    <w:name w:val="批注文字 Char"/>
    <w:basedOn w:val="12"/>
    <w:link w:val="3"/>
    <w:qFormat/>
    <w:uiPriority w:val="0"/>
    <w:rPr>
      <w:rFonts w:cs="Times New Roman"/>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7336</Words>
  <Characters>7735</Characters>
  <Lines>59</Lines>
  <Paragraphs>16</Paragraphs>
  <TotalTime>0</TotalTime>
  <ScaleCrop>false</ScaleCrop>
  <LinksUpToDate>false</LinksUpToDate>
  <CharactersWithSpaces>7990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2023-05-08T08:45:00Z</cp:lastPrinted>
  <dcterms:modified xsi:type="dcterms:W3CDTF">2023-07-10T01:24:16Z</dcterms:modified>
  <dc:title>镇江海纳川物流产业发展有限责任公司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E617128971214F11A0A6819B265D0306</vt:lpwstr>
  </property>
</Properties>
</file>