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20230725港口生产备件采购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合同签订生效后7天内供货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bookmarkStart w:id="0" w:name="_GoBack"/>
      <w:bookmarkEnd w:id="0"/>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2023年8月1日上午10点整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2023年8月1日上午10点整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W w:w="6064"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412"/>
        <w:gridCol w:w="2902"/>
        <w:gridCol w:w="2449"/>
        <w:gridCol w:w="434"/>
        <w:gridCol w:w="451"/>
        <w:gridCol w:w="659"/>
        <w:gridCol w:w="864"/>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2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8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40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18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1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1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31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1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3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28" w:type="pct"/>
            <w:vAlign w:val="center"/>
          </w:tcPr>
          <w:p>
            <w:pPr>
              <w:spacing w:line="0" w:lineRule="atLeast"/>
              <w:jc w:val="center"/>
              <w:rPr>
                <w:rFonts w:ascii="宋体" w:hAnsi="宋体" w:cs="宋体"/>
                <w:color w:val="000000"/>
                <w:sz w:val="18"/>
                <w:szCs w:val="18"/>
              </w:rPr>
            </w:pPr>
            <w:r>
              <w:rPr>
                <w:rFonts w:hint="eastAsia"/>
                <w:color w:val="000000"/>
                <w:sz w:val="18"/>
                <w:szCs w:val="18"/>
              </w:rPr>
              <w:t>1</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防爆声光报警器</w:t>
            </w:r>
          </w:p>
        </w:tc>
        <w:tc>
          <w:tcPr>
            <w:tcW w:w="1404" w:type="pct"/>
            <w:vAlign w:val="center"/>
          </w:tcPr>
          <w:p>
            <w:pPr>
              <w:spacing w:line="0" w:lineRule="atLeast"/>
              <w:rPr>
                <w:rFonts w:ascii="宋体" w:hAnsi="宋体" w:cs="宋体"/>
                <w:color w:val="000000"/>
                <w:sz w:val="18"/>
                <w:szCs w:val="18"/>
              </w:rPr>
            </w:pPr>
            <w:r>
              <w:rPr>
                <w:rFonts w:hint="eastAsia"/>
                <w:color w:val="000000"/>
                <w:sz w:val="18"/>
                <w:szCs w:val="18"/>
              </w:rPr>
              <w:t>工作电压：24VDC   额定电流:&lt;5A</w:t>
            </w:r>
            <w:r>
              <w:rPr>
                <w:rFonts w:hint="eastAsia"/>
                <w:color w:val="000000"/>
                <w:sz w:val="18"/>
                <w:szCs w:val="18"/>
              </w:rPr>
              <w:br w:type="textWrapping"/>
            </w:r>
            <w:r>
              <w:rPr>
                <w:rFonts w:hint="eastAsia"/>
                <w:color w:val="000000"/>
                <w:sz w:val="18"/>
                <w:szCs w:val="18"/>
              </w:rPr>
              <w:t>外壳材质：铝合金，带防护透明罩（钢化玻璃）</w:t>
            </w:r>
            <w:r>
              <w:rPr>
                <w:rFonts w:hint="eastAsia"/>
                <w:color w:val="000000"/>
                <w:sz w:val="18"/>
                <w:szCs w:val="18"/>
              </w:rPr>
              <w:br w:type="textWrapping"/>
            </w:r>
            <w:r>
              <w:rPr>
                <w:rFonts w:hint="eastAsia"/>
                <w:color w:val="000000"/>
                <w:sz w:val="18"/>
                <w:szCs w:val="18"/>
              </w:rPr>
              <w:t>报警音量：&gt;110dBA （距离1m处≤120dBA）音量可调</w:t>
            </w:r>
            <w:r>
              <w:rPr>
                <w:rFonts w:hint="eastAsia"/>
                <w:color w:val="000000"/>
                <w:sz w:val="18"/>
                <w:szCs w:val="18"/>
              </w:rPr>
              <w:br w:type="textWrapping"/>
            </w:r>
            <w:r>
              <w:rPr>
                <w:rFonts w:hint="eastAsia"/>
                <w:color w:val="000000"/>
                <w:sz w:val="18"/>
                <w:szCs w:val="18"/>
              </w:rPr>
              <w:t>报警灯颜色：蓝色炫光</w:t>
            </w:r>
          </w:p>
        </w:tc>
        <w:tc>
          <w:tcPr>
            <w:tcW w:w="1185" w:type="pct"/>
            <w:vAlign w:val="center"/>
          </w:tcPr>
          <w:p>
            <w:pPr>
              <w:spacing w:line="0" w:lineRule="atLeast"/>
              <w:jc w:val="left"/>
              <w:rPr>
                <w:rFonts w:ascii="宋体" w:hAnsi="宋体" w:cs="宋体"/>
                <w:color w:val="000000"/>
                <w:sz w:val="18"/>
                <w:szCs w:val="18"/>
              </w:rPr>
            </w:pPr>
            <w:r>
              <w:rPr>
                <w:rFonts w:hint="eastAsia"/>
                <w:color w:val="000000"/>
                <w:sz w:val="18"/>
                <w:szCs w:val="18"/>
              </w:rPr>
              <w:t>防爆等级：不低于ExdIIBT4  防护等级：不低于IP65</w:t>
            </w:r>
            <w:r>
              <w:rPr>
                <w:rFonts w:hint="eastAsia"/>
                <w:color w:val="000000"/>
                <w:sz w:val="18"/>
                <w:szCs w:val="18"/>
              </w:rPr>
              <w:br w:type="textWrapping"/>
            </w:r>
            <w:r>
              <w:rPr>
                <w:rFonts w:hint="eastAsia"/>
                <w:color w:val="000000"/>
                <w:sz w:val="18"/>
                <w:szCs w:val="18"/>
              </w:rPr>
              <w:t>电气接口：1/2"NPT(F) 两线制</w:t>
            </w:r>
            <w:r>
              <w:rPr>
                <w:rFonts w:hint="eastAsia"/>
                <w:color w:val="000000"/>
                <w:sz w:val="18"/>
                <w:szCs w:val="18"/>
              </w:rPr>
              <w:br w:type="textWrapping"/>
            </w:r>
            <w:r>
              <w:rPr>
                <w:rFonts w:hint="eastAsia"/>
                <w:color w:val="000000"/>
                <w:sz w:val="18"/>
                <w:szCs w:val="18"/>
              </w:rPr>
              <w:t>安装方式：带立柱式安装，立柱高2.5m</w:t>
            </w:r>
            <w:r>
              <w:rPr>
                <w:rFonts w:hint="eastAsia"/>
                <w:color w:val="000000"/>
                <w:sz w:val="18"/>
                <w:szCs w:val="18"/>
              </w:rPr>
              <w:br w:type="textWrapping"/>
            </w:r>
            <w:r>
              <w:rPr>
                <w:rFonts w:hint="eastAsia"/>
                <w:color w:val="000000"/>
                <w:sz w:val="18"/>
                <w:szCs w:val="18"/>
              </w:rPr>
              <w:t>需提供资料：                                                  1）产品合格证                                                                                        2）防爆合格证</w:t>
            </w:r>
          </w:p>
        </w:tc>
        <w:tc>
          <w:tcPr>
            <w:tcW w:w="210"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218" w:type="pct"/>
            <w:vAlign w:val="center"/>
          </w:tcPr>
          <w:p>
            <w:pPr>
              <w:spacing w:line="0" w:lineRule="atLeast"/>
              <w:jc w:val="center"/>
              <w:rPr>
                <w:rFonts w:ascii="宋体" w:hAnsi="宋体" w:cs="宋体"/>
                <w:color w:val="000000"/>
                <w:sz w:val="18"/>
                <w:szCs w:val="18"/>
              </w:rPr>
            </w:pPr>
            <w:r>
              <w:rPr>
                <w:rFonts w:hint="eastAsia"/>
                <w:color w:val="000000"/>
                <w:sz w:val="18"/>
                <w:szCs w:val="18"/>
              </w:rPr>
              <w:t>3</w:t>
            </w:r>
          </w:p>
        </w:tc>
        <w:tc>
          <w:tcPr>
            <w:tcW w:w="31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1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3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trPr>
        <w:tc>
          <w:tcPr>
            <w:tcW w:w="228" w:type="pct"/>
            <w:vAlign w:val="center"/>
          </w:tcPr>
          <w:p>
            <w:pPr>
              <w:spacing w:line="0" w:lineRule="atLeast"/>
              <w:jc w:val="center"/>
              <w:rPr>
                <w:rFonts w:ascii="宋体" w:hAnsi="宋体" w:cs="宋体"/>
                <w:color w:val="000000"/>
                <w:sz w:val="18"/>
                <w:szCs w:val="18"/>
              </w:rPr>
            </w:pPr>
            <w:r>
              <w:rPr>
                <w:rFonts w:hint="eastAsia"/>
                <w:color w:val="000000"/>
                <w:sz w:val="18"/>
                <w:szCs w:val="18"/>
              </w:rPr>
              <w:t>2</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可燃气体报警仪</w:t>
            </w:r>
          </w:p>
        </w:tc>
        <w:tc>
          <w:tcPr>
            <w:tcW w:w="1404" w:type="pct"/>
            <w:vAlign w:val="center"/>
          </w:tcPr>
          <w:p>
            <w:pPr>
              <w:spacing w:line="0" w:lineRule="atLeast"/>
              <w:rPr>
                <w:rFonts w:ascii="宋体" w:hAnsi="宋体" w:cs="宋体"/>
                <w:color w:val="000000"/>
                <w:sz w:val="18"/>
                <w:szCs w:val="18"/>
              </w:rPr>
            </w:pPr>
            <w:r>
              <w:rPr>
                <w:rFonts w:hint="eastAsia"/>
                <w:color w:val="000000"/>
                <w:sz w:val="18"/>
                <w:szCs w:val="18"/>
              </w:rPr>
              <w:t>一体化式带声光报警 环境温度：25℃；环境湿度：60%；测量范围：0~100%LEL；测量精度：±5%FS；响应时间：&lt;30s；电源：24DC;功率：3W；输出信号：4~20mA 三线制；防爆防护等级：EXd IIBT4   IP67；电气接口：1/2"NPT(F)</w:t>
            </w:r>
          </w:p>
        </w:tc>
        <w:tc>
          <w:tcPr>
            <w:tcW w:w="1185" w:type="pct"/>
            <w:vAlign w:val="center"/>
          </w:tcPr>
          <w:p>
            <w:pPr>
              <w:spacing w:line="0" w:lineRule="atLeast"/>
              <w:rPr>
                <w:rFonts w:ascii="宋体" w:hAnsi="宋体" w:cs="宋体"/>
                <w:color w:val="000000"/>
                <w:sz w:val="18"/>
                <w:szCs w:val="18"/>
              </w:rPr>
            </w:pPr>
            <w:r>
              <w:rPr>
                <w:rFonts w:hint="eastAsia"/>
                <w:color w:val="000000"/>
                <w:sz w:val="18"/>
                <w:szCs w:val="18"/>
              </w:rPr>
              <w:t xml:space="preserve">梅思安：DF8500 </w:t>
            </w:r>
            <w:r>
              <w:rPr>
                <w:rFonts w:hint="eastAsia"/>
                <w:color w:val="000000"/>
                <w:sz w:val="18"/>
                <w:szCs w:val="18"/>
              </w:rPr>
              <w:br w:type="textWrapping"/>
            </w:r>
            <w:r>
              <w:rPr>
                <w:rFonts w:hint="eastAsia"/>
                <w:color w:val="000000"/>
                <w:sz w:val="18"/>
                <w:szCs w:val="18"/>
              </w:rPr>
              <w:t>德尔格：Polytron 5000</w:t>
            </w:r>
            <w:r>
              <w:rPr>
                <w:rFonts w:hint="eastAsia"/>
                <w:color w:val="000000"/>
                <w:sz w:val="18"/>
                <w:szCs w:val="18"/>
              </w:rPr>
              <w:br w:type="textWrapping"/>
            </w:r>
            <w:r>
              <w:rPr>
                <w:rFonts w:hint="eastAsia"/>
                <w:color w:val="000000"/>
                <w:sz w:val="18"/>
                <w:szCs w:val="18"/>
              </w:rPr>
              <w:t>GDS：GTYQ-G1Max</w:t>
            </w:r>
          </w:p>
        </w:tc>
        <w:tc>
          <w:tcPr>
            <w:tcW w:w="210" w:type="pct"/>
            <w:vAlign w:val="center"/>
          </w:tcPr>
          <w:p>
            <w:pPr>
              <w:spacing w:line="0" w:lineRule="atLeast"/>
              <w:jc w:val="center"/>
              <w:rPr>
                <w:rFonts w:ascii="宋体" w:hAnsi="宋体" w:cs="宋体"/>
                <w:color w:val="000000"/>
                <w:sz w:val="18"/>
                <w:szCs w:val="18"/>
              </w:rPr>
            </w:pPr>
            <w:r>
              <w:rPr>
                <w:rFonts w:hint="eastAsia"/>
                <w:color w:val="000000"/>
                <w:sz w:val="18"/>
                <w:szCs w:val="18"/>
              </w:rPr>
              <w:t>台</w:t>
            </w:r>
          </w:p>
        </w:tc>
        <w:tc>
          <w:tcPr>
            <w:tcW w:w="218" w:type="pct"/>
            <w:vAlign w:val="center"/>
          </w:tcPr>
          <w:p>
            <w:pPr>
              <w:spacing w:line="0" w:lineRule="atLeast"/>
              <w:jc w:val="center"/>
              <w:rPr>
                <w:rFonts w:ascii="宋体" w:hAnsi="宋体" w:cs="宋体"/>
                <w:color w:val="000000"/>
                <w:sz w:val="18"/>
                <w:szCs w:val="18"/>
              </w:rPr>
            </w:pPr>
            <w:r>
              <w:rPr>
                <w:rFonts w:hint="eastAsia"/>
                <w:color w:val="000000"/>
                <w:sz w:val="18"/>
                <w:szCs w:val="18"/>
              </w:rPr>
              <w:t>10</w:t>
            </w:r>
          </w:p>
        </w:tc>
        <w:tc>
          <w:tcPr>
            <w:tcW w:w="31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1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3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28" w:type="pct"/>
            <w:vAlign w:val="center"/>
          </w:tcPr>
          <w:p>
            <w:pPr>
              <w:spacing w:line="0" w:lineRule="atLeast"/>
              <w:jc w:val="center"/>
              <w:rPr>
                <w:rFonts w:ascii="宋体" w:hAnsi="宋体" w:cs="宋体"/>
                <w:color w:val="000000"/>
                <w:sz w:val="18"/>
                <w:szCs w:val="18"/>
              </w:rPr>
            </w:pPr>
            <w:r>
              <w:rPr>
                <w:rFonts w:hint="eastAsia"/>
                <w:color w:val="000000"/>
                <w:sz w:val="18"/>
                <w:szCs w:val="18"/>
              </w:rPr>
              <w:t>3</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温度变送器</w:t>
            </w:r>
          </w:p>
        </w:tc>
        <w:tc>
          <w:tcPr>
            <w:tcW w:w="1404" w:type="pct"/>
            <w:vAlign w:val="center"/>
          </w:tcPr>
          <w:p>
            <w:pPr>
              <w:spacing w:line="0" w:lineRule="atLeast"/>
              <w:rPr>
                <w:rFonts w:ascii="宋体" w:hAnsi="宋体" w:cs="宋体"/>
                <w:color w:val="000000"/>
                <w:sz w:val="18"/>
                <w:szCs w:val="18"/>
              </w:rPr>
            </w:pPr>
            <w:r>
              <w:rPr>
                <w:rFonts w:hint="eastAsia"/>
                <w:color w:val="000000"/>
                <w:sz w:val="18"/>
                <w:szCs w:val="18"/>
              </w:rPr>
              <w:t>输出4-20mA 带Hart协议 防爆本安型 连接三线制PT100 需提供：产品合格证、防爆合格证</w:t>
            </w:r>
          </w:p>
        </w:tc>
        <w:tc>
          <w:tcPr>
            <w:tcW w:w="1185" w:type="pct"/>
            <w:vAlign w:val="center"/>
          </w:tcPr>
          <w:p>
            <w:pPr>
              <w:spacing w:line="0" w:lineRule="atLeast"/>
              <w:rPr>
                <w:rFonts w:ascii="宋体" w:hAnsi="宋体" w:cs="宋体"/>
                <w:color w:val="000000"/>
                <w:sz w:val="18"/>
                <w:szCs w:val="18"/>
              </w:rPr>
            </w:pPr>
            <w:r>
              <w:rPr>
                <w:rFonts w:hint="eastAsia"/>
                <w:color w:val="000000"/>
                <w:sz w:val="18"/>
                <w:szCs w:val="18"/>
              </w:rPr>
              <w:t>ABB:TTH200</w:t>
            </w:r>
            <w:r>
              <w:rPr>
                <w:rFonts w:hint="eastAsia"/>
                <w:color w:val="000000"/>
                <w:sz w:val="18"/>
                <w:szCs w:val="18"/>
              </w:rPr>
              <w:br w:type="textWrapping"/>
            </w:r>
            <w:r>
              <w:rPr>
                <w:rFonts w:hint="eastAsia"/>
                <w:color w:val="000000"/>
                <w:sz w:val="18"/>
                <w:szCs w:val="18"/>
              </w:rPr>
              <w:t xml:space="preserve">   SIEMENS:TH300 </w:t>
            </w:r>
            <w:r>
              <w:rPr>
                <w:rFonts w:hint="eastAsia"/>
                <w:color w:val="000000"/>
                <w:sz w:val="18"/>
                <w:szCs w:val="18"/>
              </w:rPr>
              <w:br w:type="textWrapping"/>
            </w:r>
            <w:r>
              <w:rPr>
                <w:rFonts w:hint="eastAsia"/>
                <w:color w:val="000000"/>
                <w:sz w:val="18"/>
                <w:szCs w:val="18"/>
              </w:rPr>
              <w:t xml:space="preserve">        WIKA：T32.1S.01S-Z</w:t>
            </w:r>
          </w:p>
        </w:tc>
        <w:tc>
          <w:tcPr>
            <w:tcW w:w="210"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218" w:type="pct"/>
            <w:vAlign w:val="center"/>
          </w:tcPr>
          <w:p>
            <w:pPr>
              <w:spacing w:line="0" w:lineRule="atLeast"/>
              <w:jc w:val="center"/>
              <w:rPr>
                <w:rFonts w:ascii="宋体" w:hAnsi="宋体" w:cs="宋体"/>
                <w:color w:val="000000"/>
                <w:sz w:val="18"/>
                <w:szCs w:val="18"/>
              </w:rPr>
            </w:pPr>
            <w:r>
              <w:rPr>
                <w:rFonts w:hint="eastAsia"/>
                <w:color w:val="000000"/>
                <w:sz w:val="18"/>
                <w:szCs w:val="18"/>
              </w:rPr>
              <w:t>10</w:t>
            </w:r>
          </w:p>
        </w:tc>
        <w:tc>
          <w:tcPr>
            <w:tcW w:w="31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1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3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28" w:type="pct"/>
            <w:vAlign w:val="center"/>
          </w:tcPr>
          <w:p>
            <w:pPr>
              <w:spacing w:line="0" w:lineRule="atLeast"/>
              <w:jc w:val="center"/>
              <w:rPr>
                <w:rFonts w:ascii="宋体" w:hAnsi="宋体" w:cs="宋体"/>
                <w:color w:val="000000"/>
                <w:sz w:val="18"/>
                <w:szCs w:val="18"/>
              </w:rPr>
            </w:pPr>
            <w:r>
              <w:rPr>
                <w:rFonts w:hint="eastAsia"/>
                <w:color w:val="000000"/>
                <w:sz w:val="18"/>
                <w:szCs w:val="18"/>
              </w:rPr>
              <w:t>4</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交流接触器</w:t>
            </w:r>
          </w:p>
        </w:tc>
        <w:tc>
          <w:tcPr>
            <w:tcW w:w="1404" w:type="pct"/>
            <w:vAlign w:val="center"/>
          </w:tcPr>
          <w:p>
            <w:pPr>
              <w:spacing w:line="0" w:lineRule="atLeast"/>
              <w:rPr>
                <w:rFonts w:ascii="宋体" w:hAnsi="宋体" w:cs="宋体"/>
                <w:color w:val="000000"/>
                <w:sz w:val="18"/>
                <w:szCs w:val="18"/>
              </w:rPr>
            </w:pPr>
            <w:r>
              <w:rPr>
                <w:rFonts w:hint="eastAsia"/>
                <w:color w:val="000000"/>
                <w:sz w:val="18"/>
                <w:szCs w:val="18"/>
              </w:rPr>
              <w:t>线圈电压：220V</w:t>
            </w:r>
          </w:p>
        </w:tc>
        <w:tc>
          <w:tcPr>
            <w:tcW w:w="1185" w:type="pct"/>
            <w:vAlign w:val="center"/>
          </w:tcPr>
          <w:p>
            <w:pPr>
              <w:spacing w:line="0" w:lineRule="atLeast"/>
              <w:rPr>
                <w:rFonts w:ascii="宋体" w:hAnsi="宋体" w:cs="宋体"/>
                <w:color w:val="000000"/>
                <w:sz w:val="18"/>
                <w:szCs w:val="18"/>
              </w:rPr>
            </w:pPr>
            <w:r>
              <w:rPr>
                <w:rFonts w:hint="eastAsia"/>
                <w:color w:val="000000"/>
                <w:sz w:val="18"/>
                <w:szCs w:val="18"/>
              </w:rPr>
              <w:t>CJX2-3210</w:t>
            </w:r>
          </w:p>
        </w:tc>
        <w:tc>
          <w:tcPr>
            <w:tcW w:w="210"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218" w:type="pct"/>
            <w:vAlign w:val="center"/>
          </w:tcPr>
          <w:p>
            <w:pPr>
              <w:spacing w:line="0" w:lineRule="atLeast"/>
              <w:jc w:val="center"/>
              <w:rPr>
                <w:rFonts w:ascii="宋体" w:hAnsi="宋体" w:cs="宋体"/>
                <w:color w:val="000000"/>
                <w:sz w:val="18"/>
                <w:szCs w:val="18"/>
              </w:rPr>
            </w:pPr>
            <w:r>
              <w:rPr>
                <w:rFonts w:hint="eastAsia"/>
                <w:color w:val="000000"/>
                <w:sz w:val="18"/>
                <w:szCs w:val="18"/>
              </w:rPr>
              <w:t>2</w:t>
            </w:r>
          </w:p>
        </w:tc>
        <w:tc>
          <w:tcPr>
            <w:tcW w:w="31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1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3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28" w:type="pct"/>
            <w:vAlign w:val="center"/>
          </w:tcPr>
          <w:p>
            <w:pPr>
              <w:spacing w:line="0" w:lineRule="atLeast"/>
              <w:jc w:val="center"/>
              <w:rPr>
                <w:rFonts w:ascii="宋体" w:hAnsi="宋体" w:cs="宋体"/>
                <w:color w:val="000000"/>
                <w:sz w:val="18"/>
                <w:szCs w:val="18"/>
              </w:rPr>
            </w:pPr>
            <w:r>
              <w:rPr>
                <w:rFonts w:hint="eastAsia"/>
                <w:color w:val="000000"/>
                <w:sz w:val="18"/>
                <w:szCs w:val="18"/>
              </w:rPr>
              <w:t>5</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交流接触器辅助触头</w:t>
            </w:r>
          </w:p>
        </w:tc>
        <w:tc>
          <w:tcPr>
            <w:tcW w:w="1404"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185" w:type="pct"/>
            <w:vAlign w:val="center"/>
          </w:tcPr>
          <w:p>
            <w:pPr>
              <w:spacing w:line="0" w:lineRule="atLeast"/>
              <w:rPr>
                <w:rFonts w:ascii="宋体" w:hAnsi="宋体" w:cs="宋体"/>
                <w:color w:val="000000"/>
                <w:sz w:val="18"/>
                <w:szCs w:val="18"/>
              </w:rPr>
            </w:pPr>
            <w:r>
              <w:rPr>
                <w:rFonts w:hint="eastAsia"/>
                <w:color w:val="000000"/>
                <w:sz w:val="18"/>
                <w:szCs w:val="18"/>
              </w:rPr>
              <w:t>F4-22</w:t>
            </w:r>
          </w:p>
        </w:tc>
        <w:tc>
          <w:tcPr>
            <w:tcW w:w="210"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218" w:type="pct"/>
            <w:vAlign w:val="center"/>
          </w:tcPr>
          <w:p>
            <w:pPr>
              <w:spacing w:line="0" w:lineRule="atLeast"/>
              <w:jc w:val="center"/>
              <w:rPr>
                <w:rFonts w:ascii="宋体" w:hAnsi="宋体" w:cs="宋体"/>
                <w:color w:val="000000"/>
                <w:sz w:val="18"/>
                <w:szCs w:val="18"/>
              </w:rPr>
            </w:pPr>
            <w:r>
              <w:rPr>
                <w:rFonts w:hint="eastAsia"/>
                <w:color w:val="000000"/>
                <w:sz w:val="18"/>
                <w:szCs w:val="18"/>
              </w:rPr>
              <w:t>2</w:t>
            </w:r>
          </w:p>
        </w:tc>
        <w:tc>
          <w:tcPr>
            <w:tcW w:w="31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1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3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28" w:type="pct"/>
            <w:vAlign w:val="center"/>
          </w:tcPr>
          <w:p>
            <w:pPr>
              <w:spacing w:line="0" w:lineRule="atLeast"/>
              <w:jc w:val="center"/>
              <w:rPr>
                <w:rFonts w:ascii="宋体" w:hAnsi="宋体" w:cs="宋体"/>
                <w:color w:val="000000"/>
                <w:sz w:val="18"/>
                <w:szCs w:val="18"/>
              </w:rPr>
            </w:pPr>
            <w:r>
              <w:rPr>
                <w:rFonts w:hint="eastAsia"/>
                <w:color w:val="000000"/>
                <w:sz w:val="18"/>
                <w:szCs w:val="18"/>
              </w:rPr>
              <w:t>6</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HID泛光灯具</w:t>
            </w:r>
          </w:p>
        </w:tc>
        <w:tc>
          <w:tcPr>
            <w:tcW w:w="1404"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185" w:type="pct"/>
            <w:vAlign w:val="center"/>
          </w:tcPr>
          <w:p>
            <w:pPr>
              <w:spacing w:line="0" w:lineRule="atLeast"/>
              <w:rPr>
                <w:rFonts w:ascii="宋体" w:hAnsi="宋体" w:cs="宋体"/>
                <w:color w:val="000000"/>
                <w:sz w:val="18"/>
                <w:szCs w:val="18"/>
              </w:rPr>
            </w:pPr>
            <w:r>
              <w:rPr>
                <w:rFonts w:hint="eastAsia"/>
                <w:color w:val="000000"/>
                <w:sz w:val="18"/>
                <w:szCs w:val="18"/>
              </w:rPr>
              <w:t>ZY46-N1000b/tc</w:t>
            </w:r>
          </w:p>
        </w:tc>
        <w:tc>
          <w:tcPr>
            <w:tcW w:w="210" w:type="pct"/>
            <w:vAlign w:val="center"/>
          </w:tcPr>
          <w:p>
            <w:pPr>
              <w:spacing w:line="0" w:lineRule="atLeast"/>
              <w:jc w:val="center"/>
              <w:rPr>
                <w:rFonts w:ascii="宋体" w:hAnsi="宋体" w:cs="宋体"/>
                <w:color w:val="000000"/>
                <w:sz w:val="18"/>
                <w:szCs w:val="18"/>
              </w:rPr>
            </w:pPr>
            <w:r>
              <w:rPr>
                <w:rFonts w:hint="eastAsia"/>
                <w:color w:val="000000"/>
                <w:sz w:val="18"/>
                <w:szCs w:val="18"/>
              </w:rPr>
              <w:t>套</w:t>
            </w:r>
          </w:p>
        </w:tc>
        <w:tc>
          <w:tcPr>
            <w:tcW w:w="218" w:type="pct"/>
            <w:vAlign w:val="center"/>
          </w:tcPr>
          <w:p>
            <w:pPr>
              <w:spacing w:line="0" w:lineRule="atLeast"/>
              <w:jc w:val="center"/>
              <w:rPr>
                <w:rFonts w:ascii="宋体" w:hAnsi="宋体" w:cs="宋体"/>
                <w:color w:val="000000"/>
                <w:sz w:val="18"/>
                <w:szCs w:val="18"/>
              </w:rPr>
            </w:pPr>
            <w:r>
              <w:rPr>
                <w:rFonts w:hint="eastAsia"/>
                <w:color w:val="000000"/>
                <w:sz w:val="18"/>
                <w:szCs w:val="18"/>
              </w:rPr>
              <w:t>2</w:t>
            </w:r>
          </w:p>
        </w:tc>
        <w:tc>
          <w:tcPr>
            <w:tcW w:w="31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1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3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28" w:type="pct"/>
            <w:vAlign w:val="center"/>
          </w:tcPr>
          <w:p>
            <w:pPr>
              <w:spacing w:line="0" w:lineRule="atLeast"/>
              <w:jc w:val="center"/>
              <w:rPr>
                <w:rFonts w:ascii="宋体" w:hAnsi="宋体" w:cs="宋体"/>
                <w:color w:val="000000"/>
                <w:sz w:val="18"/>
                <w:szCs w:val="18"/>
              </w:rPr>
            </w:pPr>
            <w:r>
              <w:rPr>
                <w:rFonts w:hint="eastAsia"/>
                <w:color w:val="000000"/>
                <w:sz w:val="18"/>
                <w:szCs w:val="18"/>
              </w:rPr>
              <w:t>7</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蓄电池</w:t>
            </w:r>
          </w:p>
        </w:tc>
        <w:tc>
          <w:tcPr>
            <w:tcW w:w="1404" w:type="pct"/>
            <w:vAlign w:val="center"/>
          </w:tcPr>
          <w:p>
            <w:pPr>
              <w:spacing w:line="0" w:lineRule="atLeast"/>
              <w:rPr>
                <w:rFonts w:ascii="宋体" w:hAnsi="宋体" w:cs="宋体"/>
                <w:color w:val="000000"/>
                <w:sz w:val="18"/>
                <w:szCs w:val="18"/>
              </w:rPr>
            </w:pPr>
            <w:r>
              <w:rPr>
                <w:rFonts w:hint="eastAsia"/>
                <w:color w:val="000000"/>
                <w:sz w:val="18"/>
                <w:szCs w:val="18"/>
              </w:rPr>
              <w:t>12V7.0Ah/20HR 用途：消防控制柜</w:t>
            </w:r>
          </w:p>
        </w:tc>
        <w:tc>
          <w:tcPr>
            <w:tcW w:w="1185" w:type="pct"/>
            <w:vAlign w:val="center"/>
          </w:tcPr>
          <w:p>
            <w:pPr>
              <w:spacing w:line="0" w:lineRule="atLeast"/>
              <w:rPr>
                <w:rFonts w:ascii="宋体" w:hAnsi="宋体" w:cs="宋体"/>
                <w:color w:val="000000"/>
                <w:sz w:val="18"/>
                <w:szCs w:val="18"/>
              </w:rPr>
            </w:pPr>
            <w:r>
              <w:rPr>
                <w:rFonts w:hint="eastAsia"/>
                <w:color w:val="000000"/>
                <w:sz w:val="18"/>
                <w:szCs w:val="18"/>
              </w:rPr>
              <w:t>BT-12M7.0AT</w:t>
            </w:r>
          </w:p>
        </w:tc>
        <w:tc>
          <w:tcPr>
            <w:tcW w:w="210"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218" w:type="pct"/>
            <w:vAlign w:val="center"/>
          </w:tcPr>
          <w:p>
            <w:pPr>
              <w:spacing w:line="0" w:lineRule="atLeast"/>
              <w:jc w:val="center"/>
              <w:rPr>
                <w:rFonts w:ascii="宋体" w:hAnsi="宋体" w:cs="宋体"/>
                <w:color w:val="000000"/>
                <w:sz w:val="18"/>
                <w:szCs w:val="18"/>
              </w:rPr>
            </w:pPr>
            <w:r>
              <w:rPr>
                <w:rFonts w:hint="eastAsia"/>
                <w:color w:val="000000"/>
                <w:sz w:val="18"/>
                <w:szCs w:val="18"/>
              </w:rPr>
              <w:t>8</w:t>
            </w:r>
          </w:p>
        </w:tc>
        <w:tc>
          <w:tcPr>
            <w:tcW w:w="31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1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3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28" w:type="pct"/>
            <w:vAlign w:val="center"/>
          </w:tcPr>
          <w:p>
            <w:pPr>
              <w:spacing w:line="0" w:lineRule="atLeast"/>
              <w:jc w:val="center"/>
              <w:rPr>
                <w:rFonts w:ascii="宋体" w:hAnsi="宋体" w:cs="宋体"/>
                <w:color w:val="000000"/>
                <w:sz w:val="18"/>
                <w:szCs w:val="18"/>
              </w:rPr>
            </w:pPr>
            <w:r>
              <w:rPr>
                <w:rFonts w:hint="eastAsia"/>
                <w:color w:val="000000"/>
                <w:sz w:val="18"/>
                <w:szCs w:val="18"/>
              </w:rPr>
              <w:t>8</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蓄电池</w:t>
            </w:r>
          </w:p>
        </w:tc>
        <w:tc>
          <w:tcPr>
            <w:tcW w:w="1404" w:type="pct"/>
            <w:vAlign w:val="center"/>
          </w:tcPr>
          <w:p>
            <w:pPr>
              <w:spacing w:line="0" w:lineRule="atLeast"/>
              <w:rPr>
                <w:rFonts w:ascii="宋体" w:hAnsi="宋体" w:cs="宋体"/>
                <w:color w:val="000000"/>
                <w:sz w:val="18"/>
                <w:szCs w:val="18"/>
              </w:rPr>
            </w:pPr>
            <w:r>
              <w:rPr>
                <w:rFonts w:hint="eastAsia"/>
                <w:color w:val="000000"/>
                <w:sz w:val="18"/>
                <w:szCs w:val="18"/>
              </w:rPr>
              <w:t>12V12Ah/20HR 用途：消防控制柜</w:t>
            </w:r>
          </w:p>
        </w:tc>
        <w:tc>
          <w:tcPr>
            <w:tcW w:w="1185" w:type="pct"/>
            <w:vAlign w:val="center"/>
          </w:tcPr>
          <w:p>
            <w:pPr>
              <w:spacing w:line="0" w:lineRule="atLeast"/>
              <w:rPr>
                <w:rFonts w:ascii="宋体" w:hAnsi="宋体" w:cs="宋体"/>
                <w:color w:val="000000"/>
                <w:sz w:val="18"/>
                <w:szCs w:val="18"/>
              </w:rPr>
            </w:pPr>
            <w:r>
              <w:rPr>
                <w:rFonts w:hint="eastAsia"/>
                <w:color w:val="000000"/>
                <w:sz w:val="18"/>
                <w:szCs w:val="18"/>
              </w:rPr>
              <w:t>BT-12M12AC</w:t>
            </w:r>
          </w:p>
        </w:tc>
        <w:tc>
          <w:tcPr>
            <w:tcW w:w="210"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218" w:type="pct"/>
            <w:vAlign w:val="center"/>
          </w:tcPr>
          <w:p>
            <w:pPr>
              <w:spacing w:line="0" w:lineRule="atLeast"/>
              <w:jc w:val="center"/>
              <w:rPr>
                <w:rFonts w:ascii="宋体" w:hAnsi="宋体" w:cs="宋体"/>
                <w:color w:val="000000"/>
                <w:sz w:val="18"/>
                <w:szCs w:val="18"/>
              </w:rPr>
            </w:pPr>
            <w:r>
              <w:rPr>
                <w:rFonts w:hint="eastAsia"/>
                <w:color w:val="000000"/>
                <w:sz w:val="18"/>
                <w:szCs w:val="18"/>
              </w:rPr>
              <w:t>4</w:t>
            </w:r>
          </w:p>
        </w:tc>
        <w:tc>
          <w:tcPr>
            <w:tcW w:w="31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1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3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28" w:type="pct"/>
            <w:vAlign w:val="center"/>
          </w:tcPr>
          <w:p>
            <w:pPr>
              <w:spacing w:line="0" w:lineRule="atLeast"/>
              <w:jc w:val="center"/>
              <w:rPr>
                <w:rFonts w:ascii="宋体" w:hAnsi="宋体" w:cs="宋体"/>
                <w:color w:val="000000"/>
                <w:sz w:val="18"/>
                <w:szCs w:val="18"/>
              </w:rPr>
            </w:pPr>
            <w:r>
              <w:rPr>
                <w:rFonts w:hint="eastAsia"/>
                <w:color w:val="000000"/>
                <w:sz w:val="18"/>
                <w:szCs w:val="18"/>
              </w:rPr>
              <w:t>9</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游标卡尺</w:t>
            </w:r>
          </w:p>
        </w:tc>
        <w:tc>
          <w:tcPr>
            <w:tcW w:w="1404" w:type="pct"/>
            <w:vAlign w:val="center"/>
          </w:tcPr>
          <w:p>
            <w:pPr>
              <w:spacing w:line="0" w:lineRule="atLeast"/>
              <w:rPr>
                <w:rFonts w:ascii="宋体" w:hAnsi="宋体" w:cs="宋体"/>
                <w:color w:val="000000"/>
                <w:sz w:val="18"/>
                <w:szCs w:val="18"/>
              </w:rPr>
            </w:pPr>
            <w:r>
              <w:rPr>
                <w:rFonts w:hint="eastAsia"/>
                <w:color w:val="000000"/>
                <w:sz w:val="18"/>
                <w:szCs w:val="18"/>
              </w:rPr>
              <w:t>量程：0-300mm 精度：±0.03mm</w:t>
            </w:r>
          </w:p>
        </w:tc>
        <w:tc>
          <w:tcPr>
            <w:tcW w:w="1185" w:type="pct"/>
            <w:vAlign w:val="center"/>
          </w:tcPr>
          <w:p>
            <w:pPr>
              <w:spacing w:line="0" w:lineRule="atLeast"/>
              <w:rPr>
                <w:rFonts w:ascii="宋体" w:hAnsi="宋体" w:cs="宋体"/>
                <w:color w:val="000000"/>
                <w:sz w:val="18"/>
                <w:szCs w:val="18"/>
              </w:rPr>
            </w:pPr>
            <w:r>
              <w:rPr>
                <w:rFonts w:hint="eastAsia"/>
                <w:color w:val="000000"/>
                <w:sz w:val="18"/>
                <w:szCs w:val="18"/>
              </w:rPr>
              <w:t>世达 91513</w:t>
            </w:r>
          </w:p>
        </w:tc>
        <w:tc>
          <w:tcPr>
            <w:tcW w:w="210" w:type="pct"/>
            <w:vAlign w:val="center"/>
          </w:tcPr>
          <w:p>
            <w:pPr>
              <w:spacing w:line="0" w:lineRule="atLeast"/>
              <w:jc w:val="center"/>
              <w:rPr>
                <w:rFonts w:ascii="宋体" w:hAnsi="宋体" w:cs="宋体"/>
                <w:color w:val="000000"/>
                <w:sz w:val="18"/>
                <w:szCs w:val="18"/>
              </w:rPr>
            </w:pPr>
            <w:r>
              <w:rPr>
                <w:rFonts w:hint="eastAsia"/>
                <w:color w:val="000000"/>
                <w:sz w:val="18"/>
                <w:szCs w:val="18"/>
              </w:rPr>
              <w:t>把</w:t>
            </w:r>
          </w:p>
        </w:tc>
        <w:tc>
          <w:tcPr>
            <w:tcW w:w="218" w:type="pct"/>
            <w:vAlign w:val="center"/>
          </w:tcPr>
          <w:p>
            <w:pPr>
              <w:spacing w:line="0" w:lineRule="atLeast"/>
              <w:jc w:val="center"/>
              <w:rPr>
                <w:rFonts w:ascii="宋体" w:hAnsi="宋体" w:cs="宋体"/>
                <w:color w:val="000000"/>
                <w:sz w:val="18"/>
                <w:szCs w:val="18"/>
              </w:rPr>
            </w:pPr>
            <w:r>
              <w:rPr>
                <w:rFonts w:hint="eastAsia"/>
                <w:color w:val="000000"/>
                <w:sz w:val="18"/>
                <w:szCs w:val="18"/>
              </w:rPr>
              <w:t>1</w:t>
            </w:r>
          </w:p>
        </w:tc>
        <w:tc>
          <w:tcPr>
            <w:tcW w:w="31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1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3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28" w:type="pct"/>
            <w:vAlign w:val="center"/>
          </w:tcPr>
          <w:p>
            <w:pPr>
              <w:spacing w:line="0" w:lineRule="atLeast"/>
              <w:jc w:val="center"/>
              <w:rPr>
                <w:rFonts w:ascii="宋体" w:hAnsi="宋体" w:cs="宋体"/>
                <w:color w:val="000000"/>
                <w:sz w:val="18"/>
                <w:szCs w:val="18"/>
              </w:rPr>
            </w:pPr>
            <w:r>
              <w:rPr>
                <w:rFonts w:hint="eastAsia"/>
                <w:color w:val="000000"/>
                <w:sz w:val="18"/>
                <w:szCs w:val="18"/>
              </w:rPr>
              <w:t>10</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钳形电流表</w:t>
            </w:r>
          </w:p>
        </w:tc>
        <w:tc>
          <w:tcPr>
            <w:tcW w:w="1404" w:type="pct"/>
            <w:vAlign w:val="center"/>
          </w:tcPr>
          <w:p>
            <w:pPr>
              <w:spacing w:line="0" w:lineRule="atLeast"/>
              <w:rPr>
                <w:rFonts w:ascii="宋体" w:hAnsi="宋体" w:cs="宋体"/>
                <w:color w:val="000000"/>
                <w:sz w:val="18"/>
                <w:szCs w:val="18"/>
              </w:rPr>
            </w:pPr>
            <w:r>
              <w:rPr>
                <w:rFonts w:hint="eastAsia"/>
                <w:color w:val="000000"/>
                <w:sz w:val="18"/>
                <w:szCs w:val="18"/>
              </w:rPr>
              <w:t>最大钳口尺寸：55mm</w:t>
            </w:r>
          </w:p>
        </w:tc>
        <w:tc>
          <w:tcPr>
            <w:tcW w:w="1185" w:type="pct"/>
            <w:vAlign w:val="center"/>
          </w:tcPr>
          <w:p>
            <w:pPr>
              <w:spacing w:line="0" w:lineRule="atLeast"/>
              <w:rPr>
                <w:rFonts w:ascii="宋体" w:hAnsi="宋体" w:cs="宋体"/>
                <w:color w:val="000000"/>
                <w:sz w:val="18"/>
                <w:szCs w:val="18"/>
              </w:rPr>
            </w:pPr>
            <w:r>
              <w:rPr>
                <w:rFonts w:hint="eastAsia"/>
                <w:color w:val="000000"/>
                <w:sz w:val="18"/>
                <w:szCs w:val="18"/>
              </w:rPr>
              <w:t>世达 03026</w:t>
            </w:r>
          </w:p>
        </w:tc>
        <w:tc>
          <w:tcPr>
            <w:tcW w:w="210" w:type="pct"/>
            <w:vAlign w:val="center"/>
          </w:tcPr>
          <w:p>
            <w:pPr>
              <w:spacing w:line="0" w:lineRule="atLeast"/>
              <w:jc w:val="center"/>
              <w:rPr>
                <w:rFonts w:ascii="宋体" w:hAnsi="宋体" w:cs="宋体"/>
                <w:color w:val="000000"/>
                <w:sz w:val="18"/>
                <w:szCs w:val="18"/>
              </w:rPr>
            </w:pPr>
            <w:r>
              <w:rPr>
                <w:rFonts w:hint="eastAsia"/>
                <w:color w:val="000000"/>
                <w:sz w:val="18"/>
                <w:szCs w:val="18"/>
              </w:rPr>
              <w:t>台</w:t>
            </w:r>
          </w:p>
        </w:tc>
        <w:tc>
          <w:tcPr>
            <w:tcW w:w="218" w:type="pct"/>
            <w:vAlign w:val="center"/>
          </w:tcPr>
          <w:p>
            <w:pPr>
              <w:spacing w:line="0" w:lineRule="atLeast"/>
              <w:jc w:val="center"/>
              <w:rPr>
                <w:rFonts w:ascii="宋体" w:hAnsi="宋体" w:cs="宋体"/>
                <w:color w:val="000000"/>
                <w:sz w:val="18"/>
                <w:szCs w:val="18"/>
              </w:rPr>
            </w:pPr>
            <w:r>
              <w:rPr>
                <w:rFonts w:hint="eastAsia"/>
                <w:color w:val="000000"/>
                <w:sz w:val="18"/>
                <w:szCs w:val="18"/>
              </w:rPr>
              <w:t>1</w:t>
            </w:r>
          </w:p>
        </w:tc>
        <w:tc>
          <w:tcPr>
            <w:tcW w:w="31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1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3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28" w:type="pct"/>
            <w:vAlign w:val="center"/>
          </w:tcPr>
          <w:p>
            <w:pPr>
              <w:spacing w:line="0" w:lineRule="atLeast"/>
              <w:jc w:val="center"/>
              <w:rPr>
                <w:rFonts w:ascii="宋体" w:hAnsi="宋体" w:cs="宋体"/>
                <w:color w:val="000000"/>
                <w:sz w:val="18"/>
                <w:szCs w:val="18"/>
              </w:rPr>
            </w:pPr>
            <w:r>
              <w:rPr>
                <w:rFonts w:hint="eastAsia"/>
                <w:color w:val="000000"/>
                <w:sz w:val="18"/>
                <w:szCs w:val="18"/>
              </w:rPr>
              <w:t>11</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折叠刀</w:t>
            </w:r>
          </w:p>
        </w:tc>
        <w:tc>
          <w:tcPr>
            <w:tcW w:w="1404" w:type="pct"/>
            <w:vAlign w:val="center"/>
          </w:tcPr>
          <w:p>
            <w:pPr>
              <w:spacing w:line="0" w:lineRule="atLeast"/>
              <w:rPr>
                <w:rFonts w:ascii="宋体" w:hAnsi="宋体" w:cs="宋体"/>
                <w:color w:val="000000"/>
                <w:sz w:val="18"/>
                <w:szCs w:val="18"/>
              </w:rPr>
            </w:pPr>
            <w:r>
              <w:rPr>
                <w:rFonts w:hint="eastAsia"/>
                <w:color w:val="000000"/>
                <w:sz w:val="18"/>
                <w:szCs w:val="18"/>
              </w:rPr>
              <w:t>长（折叠前/后）：155mm/110mm</w:t>
            </w:r>
          </w:p>
        </w:tc>
        <w:tc>
          <w:tcPr>
            <w:tcW w:w="1185" w:type="pct"/>
            <w:vAlign w:val="center"/>
          </w:tcPr>
          <w:p>
            <w:pPr>
              <w:spacing w:line="0" w:lineRule="atLeast"/>
              <w:rPr>
                <w:rFonts w:ascii="宋体" w:hAnsi="宋体" w:cs="宋体"/>
                <w:color w:val="000000"/>
                <w:sz w:val="18"/>
                <w:szCs w:val="18"/>
              </w:rPr>
            </w:pPr>
            <w:r>
              <w:rPr>
                <w:rFonts w:hint="eastAsia"/>
                <w:color w:val="000000"/>
                <w:sz w:val="18"/>
                <w:szCs w:val="18"/>
              </w:rPr>
              <w:t>世达 93647</w:t>
            </w:r>
          </w:p>
        </w:tc>
        <w:tc>
          <w:tcPr>
            <w:tcW w:w="210" w:type="pct"/>
            <w:vAlign w:val="center"/>
          </w:tcPr>
          <w:p>
            <w:pPr>
              <w:spacing w:line="0" w:lineRule="atLeast"/>
              <w:jc w:val="center"/>
              <w:rPr>
                <w:rFonts w:ascii="宋体" w:hAnsi="宋体" w:cs="宋体"/>
                <w:color w:val="000000"/>
                <w:sz w:val="18"/>
                <w:szCs w:val="18"/>
              </w:rPr>
            </w:pPr>
            <w:r>
              <w:rPr>
                <w:rFonts w:hint="eastAsia"/>
                <w:color w:val="000000"/>
                <w:sz w:val="18"/>
                <w:szCs w:val="18"/>
              </w:rPr>
              <w:t>把</w:t>
            </w:r>
          </w:p>
        </w:tc>
        <w:tc>
          <w:tcPr>
            <w:tcW w:w="218" w:type="pct"/>
            <w:vAlign w:val="center"/>
          </w:tcPr>
          <w:p>
            <w:pPr>
              <w:spacing w:line="0" w:lineRule="atLeast"/>
              <w:jc w:val="center"/>
              <w:rPr>
                <w:rFonts w:ascii="宋体" w:hAnsi="宋体" w:cs="宋体"/>
                <w:color w:val="000000"/>
                <w:sz w:val="18"/>
                <w:szCs w:val="18"/>
              </w:rPr>
            </w:pPr>
            <w:r>
              <w:rPr>
                <w:rFonts w:hint="eastAsia"/>
                <w:color w:val="000000"/>
                <w:sz w:val="18"/>
                <w:szCs w:val="18"/>
              </w:rPr>
              <w:t>1</w:t>
            </w:r>
          </w:p>
        </w:tc>
        <w:tc>
          <w:tcPr>
            <w:tcW w:w="31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1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3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28" w:type="pct"/>
            <w:vAlign w:val="center"/>
          </w:tcPr>
          <w:p>
            <w:pPr>
              <w:spacing w:line="0" w:lineRule="atLeast"/>
              <w:jc w:val="center"/>
              <w:rPr>
                <w:rFonts w:ascii="宋体" w:hAnsi="宋体" w:cs="宋体"/>
                <w:color w:val="000000"/>
                <w:sz w:val="18"/>
                <w:szCs w:val="18"/>
              </w:rPr>
            </w:pPr>
            <w:r>
              <w:rPr>
                <w:rFonts w:hint="eastAsia"/>
                <w:color w:val="000000"/>
                <w:sz w:val="18"/>
                <w:szCs w:val="18"/>
              </w:rPr>
              <w:t>12</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大力钳</w:t>
            </w:r>
          </w:p>
        </w:tc>
        <w:tc>
          <w:tcPr>
            <w:tcW w:w="1404" w:type="pct"/>
            <w:vAlign w:val="center"/>
          </w:tcPr>
          <w:p>
            <w:pPr>
              <w:spacing w:line="0" w:lineRule="atLeast"/>
              <w:rPr>
                <w:rFonts w:ascii="宋体" w:hAnsi="宋体" w:cs="宋体"/>
                <w:color w:val="000000"/>
                <w:sz w:val="18"/>
                <w:szCs w:val="18"/>
              </w:rPr>
            </w:pPr>
            <w:r>
              <w:rPr>
                <w:rFonts w:hint="eastAsia"/>
                <w:color w:val="000000"/>
                <w:sz w:val="18"/>
                <w:szCs w:val="18"/>
              </w:rPr>
              <w:t>10寸</w:t>
            </w:r>
          </w:p>
        </w:tc>
        <w:tc>
          <w:tcPr>
            <w:tcW w:w="1185" w:type="pct"/>
            <w:vAlign w:val="center"/>
          </w:tcPr>
          <w:p>
            <w:pPr>
              <w:spacing w:line="0" w:lineRule="atLeast"/>
              <w:rPr>
                <w:rFonts w:ascii="宋体" w:hAnsi="宋体" w:cs="宋体"/>
                <w:color w:val="000000"/>
                <w:sz w:val="18"/>
                <w:szCs w:val="18"/>
              </w:rPr>
            </w:pPr>
            <w:r>
              <w:rPr>
                <w:rFonts w:hint="eastAsia"/>
                <w:color w:val="000000"/>
                <w:sz w:val="18"/>
                <w:szCs w:val="18"/>
              </w:rPr>
              <w:t>世达 71206</w:t>
            </w:r>
          </w:p>
        </w:tc>
        <w:tc>
          <w:tcPr>
            <w:tcW w:w="210"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218" w:type="pct"/>
            <w:vAlign w:val="center"/>
          </w:tcPr>
          <w:p>
            <w:pPr>
              <w:spacing w:line="0" w:lineRule="atLeast"/>
              <w:jc w:val="center"/>
              <w:rPr>
                <w:rFonts w:ascii="宋体" w:hAnsi="宋体" w:cs="宋体"/>
                <w:color w:val="000000"/>
                <w:sz w:val="18"/>
                <w:szCs w:val="18"/>
              </w:rPr>
            </w:pPr>
            <w:r>
              <w:rPr>
                <w:rFonts w:hint="eastAsia"/>
                <w:color w:val="000000"/>
                <w:sz w:val="18"/>
                <w:szCs w:val="18"/>
              </w:rPr>
              <w:t>1</w:t>
            </w:r>
          </w:p>
        </w:tc>
        <w:tc>
          <w:tcPr>
            <w:tcW w:w="31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1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3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28" w:type="pct"/>
            <w:vAlign w:val="center"/>
          </w:tcPr>
          <w:p>
            <w:pPr>
              <w:spacing w:line="0" w:lineRule="atLeast"/>
              <w:jc w:val="center"/>
              <w:rPr>
                <w:rFonts w:ascii="宋体" w:hAnsi="宋体" w:cs="宋体"/>
                <w:color w:val="000000"/>
                <w:sz w:val="18"/>
                <w:szCs w:val="18"/>
              </w:rPr>
            </w:pPr>
            <w:r>
              <w:rPr>
                <w:rFonts w:hint="eastAsia"/>
                <w:color w:val="000000"/>
                <w:sz w:val="18"/>
                <w:szCs w:val="18"/>
              </w:rPr>
              <w:t>13</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膨体软四氟板</w:t>
            </w:r>
          </w:p>
        </w:tc>
        <w:tc>
          <w:tcPr>
            <w:tcW w:w="1404" w:type="pct"/>
            <w:vAlign w:val="center"/>
          </w:tcPr>
          <w:p>
            <w:pPr>
              <w:spacing w:line="0" w:lineRule="atLeast"/>
              <w:rPr>
                <w:rFonts w:ascii="宋体" w:hAnsi="宋体" w:cs="宋体"/>
                <w:color w:val="000000"/>
                <w:sz w:val="18"/>
                <w:szCs w:val="18"/>
              </w:rPr>
            </w:pPr>
            <w:r>
              <w:rPr>
                <w:rFonts w:hint="eastAsia"/>
                <w:color w:val="000000"/>
                <w:sz w:val="18"/>
                <w:szCs w:val="18"/>
              </w:rPr>
              <w:t>1x2m e=2mm</w:t>
            </w:r>
          </w:p>
        </w:tc>
        <w:tc>
          <w:tcPr>
            <w:tcW w:w="1185"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210" w:type="pct"/>
            <w:vAlign w:val="center"/>
          </w:tcPr>
          <w:p>
            <w:pPr>
              <w:spacing w:line="0" w:lineRule="atLeast"/>
              <w:jc w:val="center"/>
              <w:rPr>
                <w:rFonts w:ascii="宋体" w:hAnsi="宋体" w:cs="宋体"/>
                <w:color w:val="000000"/>
                <w:sz w:val="18"/>
                <w:szCs w:val="18"/>
              </w:rPr>
            </w:pPr>
            <w:r>
              <w:rPr>
                <w:rFonts w:hint="eastAsia"/>
                <w:color w:val="000000"/>
                <w:sz w:val="18"/>
                <w:szCs w:val="18"/>
              </w:rPr>
              <w:t>张</w:t>
            </w:r>
          </w:p>
        </w:tc>
        <w:tc>
          <w:tcPr>
            <w:tcW w:w="218" w:type="pct"/>
            <w:vAlign w:val="center"/>
          </w:tcPr>
          <w:p>
            <w:pPr>
              <w:spacing w:line="0" w:lineRule="atLeast"/>
              <w:jc w:val="center"/>
              <w:rPr>
                <w:rFonts w:ascii="宋体" w:hAnsi="宋体" w:cs="宋体"/>
                <w:color w:val="000000"/>
                <w:sz w:val="18"/>
                <w:szCs w:val="18"/>
              </w:rPr>
            </w:pPr>
            <w:r>
              <w:rPr>
                <w:rFonts w:hint="eastAsia"/>
                <w:color w:val="000000"/>
                <w:sz w:val="18"/>
                <w:szCs w:val="18"/>
              </w:rPr>
              <w:t>3</w:t>
            </w:r>
          </w:p>
        </w:tc>
        <w:tc>
          <w:tcPr>
            <w:tcW w:w="31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1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3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28" w:type="pct"/>
            <w:vAlign w:val="center"/>
          </w:tcPr>
          <w:p>
            <w:pPr>
              <w:spacing w:line="0" w:lineRule="atLeast"/>
              <w:jc w:val="center"/>
              <w:rPr>
                <w:rFonts w:ascii="宋体" w:hAnsi="宋体" w:cs="宋体"/>
                <w:color w:val="000000"/>
                <w:sz w:val="18"/>
                <w:szCs w:val="18"/>
              </w:rPr>
            </w:pPr>
            <w:r>
              <w:rPr>
                <w:rFonts w:hint="eastAsia"/>
                <w:color w:val="000000"/>
                <w:sz w:val="18"/>
                <w:szCs w:val="18"/>
              </w:rPr>
              <w:t>14</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卡套式外螺纹接头</w:t>
            </w:r>
          </w:p>
        </w:tc>
        <w:tc>
          <w:tcPr>
            <w:tcW w:w="1404" w:type="pct"/>
            <w:vAlign w:val="center"/>
          </w:tcPr>
          <w:p>
            <w:pPr>
              <w:spacing w:line="0" w:lineRule="atLeast"/>
              <w:rPr>
                <w:rFonts w:ascii="宋体" w:hAnsi="宋体" w:cs="宋体"/>
                <w:color w:val="000000"/>
                <w:sz w:val="18"/>
                <w:szCs w:val="18"/>
              </w:rPr>
            </w:pPr>
            <w:r>
              <w:rPr>
                <w:rFonts w:hint="eastAsia"/>
                <w:color w:val="000000"/>
                <w:sz w:val="18"/>
                <w:szCs w:val="18"/>
              </w:rPr>
              <w:t>316L</w:t>
            </w:r>
          </w:p>
        </w:tc>
        <w:tc>
          <w:tcPr>
            <w:tcW w:w="1185" w:type="pct"/>
            <w:vAlign w:val="center"/>
          </w:tcPr>
          <w:p>
            <w:pPr>
              <w:spacing w:line="0" w:lineRule="atLeast"/>
              <w:rPr>
                <w:rFonts w:ascii="宋体" w:hAnsi="宋体" w:cs="宋体"/>
                <w:color w:val="000000"/>
                <w:sz w:val="18"/>
                <w:szCs w:val="18"/>
              </w:rPr>
            </w:pPr>
            <w:r>
              <w:rPr>
                <w:rFonts w:hint="eastAsia"/>
                <w:color w:val="000000"/>
                <w:sz w:val="18"/>
                <w:szCs w:val="18"/>
              </w:rPr>
              <w:t>1/2NPT-φ8</w:t>
            </w:r>
          </w:p>
        </w:tc>
        <w:tc>
          <w:tcPr>
            <w:tcW w:w="210"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218" w:type="pct"/>
            <w:vAlign w:val="center"/>
          </w:tcPr>
          <w:p>
            <w:pPr>
              <w:spacing w:line="0" w:lineRule="atLeast"/>
              <w:jc w:val="center"/>
              <w:rPr>
                <w:rFonts w:ascii="宋体" w:hAnsi="宋体" w:cs="宋体"/>
                <w:color w:val="000000"/>
                <w:sz w:val="18"/>
                <w:szCs w:val="18"/>
              </w:rPr>
            </w:pPr>
            <w:r>
              <w:rPr>
                <w:rFonts w:hint="eastAsia"/>
                <w:color w:val="000000"/>
                <w:sz w:val="18"/>
                <w:szCs w:val="18"/>
              </w:rPr>
              <w:t>20</w:t>
            </w:r>
          </w:p>
        </w:tc>
        <w:tc>
          <w:tcPr>
            <w:tcW w:w="31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1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3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8" w:type="pct"/>
            <w:vAlign w:val="center"/>
          </w:tcPr>
          <w:p>
            <w:pPr>
              <w:spacing w:line="0" w:lineRule="atLeast"/>
              <w:jc w:val="center"/>
              <w:rPr>
                <w:rFonts w:ascii="宋体" w:hAnsi="宋体" w:cs="宋体"/>
                <w:color w:val="000000"/>
                <w:sz w:val="18"/>
                <w:szCs w:val="18"/>
              </w:rPr>
            </w:pPr>
            <w:r>
              <w:rPr>
                <w:rFonts w:hint="eastAsia"/>
                <w:color w:val="000000"/>
                <w:sz w:val="18"/>
                <w:szCs w:val="18"/>
              </w:rPr>
              <w:t>15</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大车轨道压板</w:t>
            </w:r>
          </w:p>
        </w:tc>
        <w:tc>
          <w:tcPr>
            <w:tcW w:w="1404"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185" w:type="pct"/>
            <w:vAlign w:val="center"/>
          </w:tcPr>
          <w:p>
            <w:pPr>
              <w:spacing w:line="0" w:lineRule="atLeast"/>
              <w:rPr>
                <w:rFonts w:ascii="宋体" w:hAnsi="宋体" w:cs="宋体"/>
                <w:color w:val="000000"/>
                <w:sz w:val="18"/>
                <w:szCs w:val="18"/>
              </w:rPr>
            </w:pPr>
            <w:r>
              <w:rPr>
                <w:rFonts w:hint="eastAsia"/>
                <w:color w:val="000000"/>
                <w:sz w:val="18"/>
                <w:szCs w:val="18"/>
              </w:rPr>
              <w:t xml:space="preserve">p50配1500mm×宽900mm×厚300mm  </w:t>
            </w:r>
          </w:p>
        </w:tc>
        <w:tc>
          <w:tcPr>
            <w:tcW w:w="210" w:type="pct"/>
            <w:vAlign w:val="center"/>
          </w:tcPr>
          <w:p>
            <w:pPr>
              <w:spacing w:line="0" w:lineRule="atLeast"/>
              <w:jc w:val="center"/>
              <w:rPr>
                <w:rFonts w:ascii="宋体" w:hAnsi="宋体" w:cs="宋体"/>
                <w:color w:val="000000"/>
                <w:sz w:val="18"/>
                <w:szCs w:val="18"/>
              </w:rPr>
            </w:pPr>
            <w:r>
              <w:rPr>
                <w:rFonts w:hint="eastAsia"/>
                <w:color w:val="000000"/>
                <w:sz w:val="18"/>
                <w:szCs w:val="18"/>
              </w:rPr>
              <w:t>片</w:t>
            </w:r>
          </w:p>
        </w:tc>
        <w:tc>
          <w:tcPr>
            <w:tcW w:w="218" w:type="pct"/>
            <w:vAlign w:val="center"/>
          </w:tcPr>
          <w:p>
            <w:pPr>
              <w:spacing w:line="0" w:lineRule="atLeast"/>
              <w:jc w:val="center"/>
              <w:rPr>
                <w:rFonts w:ascii="宋体" w:hAnsi="宋体" w:cs="宋体"/>
                <w:color w:val="000000"/>
                <w:sz w:val="18"/>
                <w:szCs w:val="18"/>
              </w:rPr>
            </w:pPr>
            <w:r>
              <w:rPr>
                <w:rFonts w:hint="eastAsia"/>
                <w:color w:val="000000"/>
                <w:sz w:val="18"/>
                <w:szCs w:val="18"/>
              </w:rPr>
              <w:t>300</w:t>
            </w:r>
          </w:p>
        </w:tc>
        <w:tc>
          <w:tcPr>
            <w:tcW w:w="31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1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3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28" w:type="pct"/>
            <w:vAlign w:val="center"/>
          </w:tcPr>
          <w:p>
            <w:pPr>
              <w:spacing w:line="0" w:lineRule="atLeast"/>
              <w:jc w:val="center"/>
              <w:rPr>
                <w:rFonts w:ascii="宋体" w:hAnsi="宋体" w:cs="宋体"/>
                <w:color w:val="000000"/>
                <w:sz w:val="18"/>
                <w:szCs w:val="18"/>
              </w:rPr>
            </w:pPr>
            <w:r>
              <w:rPr>
                <w:rFonts w:hint="eastAsia"/>
                <w:color w:val="000000"/>
                <w:sz w:val="18"/>
                <w:szCs w:val="18"/>
              </w:rPr>
              <w:t>16</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防静电安全带</w:t>
            </w:r>
          </w:p>
        </w:tc>
        <w:tc>
          <w:tcPr>
            <w:tcW w:w="1404" w:type="pct"/>
            <w:vAlign w:val="center"/>
          </w:tcPr>
          <w:p>
            <w:pPr>
              <w:spacing w:line="0" w:lineRule="atLeast"/>
              <w:rPr>
                <w:rFonts w:ascii="宋体" w:hAnsi="宋体" w:cs="宋体"/>
                <w:color w:val="000000"/>
                <w:sz w:val="18"/>
                <w:szCs w:val="18"/>
              </w:rPr>
            </w:pPr>
            <w:r>
              <w:rPr>
                <w:rFonts w:hint="eastAsia"/>
                <w:color w:val="000000"/>
                <w:sz w:val="18"/>
                <w:szCs w:val="18"/>
              </w:rPr>
              <w:t>材质：防静电丝 需提供：产品合格证、防静电检测报告（包含搭扣）</w:t>
            </w:r>
          </w:p>
        </w:tc>
        <w:tc>
          <w:tcPr>
            <w:tcW w:w="1185" w:type="pct"/>
            <w:vAlign w:val="center"/>
          </w:tcPr>
          <w:p>
            <w:pPr>
              <w:spacing w:line="0" w:lineRule="atLeast"/>
              <w:rPr>
                <w:rFonts w:ascii="宋体" w:hAnsi="宋体" w:cs="宋体"/>
                <w:color w:val="000000"/>
                <w:sz w:val="18"/>
                <w:szCs w:val="18"/>
              </w:rPr>
            </w:pPr>
            <w:r>
              <w:rPr>
                <w:rFonts w:hint="eastAsia"/>
                <w:color w:val="000000"/>
                <w:sz w:val="18"/>
                <w:szCs w:val="18"/>
              </w:rPr>
              <w:t>320015</w:t>
            </w:r>
          </w:p>
        </w:tc>
        <w:tc>
          <w:tcPr>
            <w:tcW w:w="210" w:type="pct"/>
            <w:vAlign w:val="center"/>
          </w:tcPr>
          <w:p>
            <w:pPr>
              <w:spacing w:line="0" w:lineRule="atLeast"/>
              <w:jc w:val="center"/>
              <w:rPr>
                <w:rFonts w:ascii="宋体" w:hAnsi="宋体" w:cs="宋体"/>
                <w:color w:val="000000"/>
                <w:sz w:val="18"/>
                <w:szCs w:val="18"/>
              </w:rPr>
            </w:pPr>
            <w:r>
              <w:rPr>
                <w:rFonts w:hint="eastAsia"/>
                <w:color w:val="000000"/>
                <w:sz w:val="18"/>
                <w:szCs w:val="18"/>
              </w:rPr>
              <w:t>套</w:t>
            </w:r>
          </w:p>
        </w:tc>
        <w:tc>
          <w:tcPr>
            <w:tcW w:w="218" w:type="pct"/>
            <w:vAlign w:val="center"/>
          </w:tcPr>
          <w:p>
            <w:pPr>
              <w:spacing w:line="0" w:lineRule="atLeast"/>
              <w:jc w:val="center"/>
              <w:rPr>
                <w:rFonts w:ascii="宋体" w:hAnsi="宋体" w:cs="宋体"/>
                <w:color w:val="000000"/>
                <w:sz w:val="18"/>
                <w:szCs w:val="18"/>
              </w:rPr>
            </w:pPr>
            <w:r>
              <w:rPr>
                <w:rFonts w:hint="eastAsia"/>
                <w:color w:val="000000"/>
                <w:sz w:val="18"/>
                <w:szCs w:val="18"/>
              </w:rPr>
              <w:t>2</w:t>
            </w:r>
          </w:p>
        </w:tc>
        <w:tc>
          <w:tcPr>
            <w:tcW w:w="31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18"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3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3500"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1500"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9"/>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产品买卖合同模板</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出卖人：***公司                    　　  </w:t>
      </w:r>
    </w:p>
    <w:p>
      <w:pPr>
        <w:spacing w:line="600" w:lineRule="exact"/>
        <w:ind w:left="319" w:leftChars="152" w:firstLine="320" w:firstLineChars="1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买受人：镇江海纳川物流产业发展有限责任公司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p>
    <w:p>
      <w:pPr>
        <w:spacing w:line="600" w:lineRule="exact"/>
        <w:jc w:val="left"/>
        <w:rPr>
          <w:rFonts w:ascii="方正仿宋简体" w:hAnsi="方正仿宋简体" w:eastAsia="方正仿宋简体" w:cs="方正仿宋简体"/>
          <w:sz w:val="32"/>
          <w:szCs w:val="32"/>
        </w:rPr>
      </w:pPr>
    </w:p>
    <w:tbl>
      <w:tblPr>
        <w:tblStyle w:val="11"/>
        <w:tblpPr w:leftFromText="180" w:rightFromText="180" w:vertAnchor="text" w:horzAnchor="margin" w:tblpY="-36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34"/>
        <w:gridCol w:w="1276"/>
        <w:gridCol w:w="2268"/>
        <w:gridCol w:w="534"/>
        <w:gridCol w:w="56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1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1276"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2268"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5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567"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 xml:space="preserve">以上合计总价（大写）： </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税率：**%</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到货期：合同签订生效后**天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出卖人对质量负责的条件及期限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买受人对产品的质量要求，买受人有权退回或者调换，产生的费用和损失由出卖人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出卖人负责送货至买受人指定地点，运费由出卖人承担。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根据出卖人提供的货物使用一段时间没问题验收。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买受人自收到标的物验收合格并且收到出卖人开具的**%增值税发票后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方式付款，如果增值税税率调整，单价按新税率折算金额执行。</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pStyle w:val="3"/>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联系和送达方式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1.出卖人联系人和联系方式：姓名：***； 传真： ；移动电话：***；电子邮箱：***；微信（或QQ）号：***；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2.买受人联系人和联系方式：姓名：周祥生；传真：0511-88995285；移动电话：13861358963；电子邮箱：</w:t>
      </w:r>
      <w:r>
        <w:fldChar w:fldCharType="begin"/>
      </w:r>
      <w:r>
        <w:instrText xml:space="preserve"> HYPERLINK "mailto:1386358963@139.com" </w:instrText>
      </w:r>
      <w:r>
        <w:fldChar w:fldCharType="separate"/>
      </w:r>
      <w:r>
        <w:rPr>
          <w:rFonts w:hint="eastAsia" w:ascii="方正仿宋简体" w:hAnsi="方正仿宋简体" w:eastAsia="方正仿宋简体" w:cs="方正仿宋简体"/>
          <w:sz w:val="32"/>
          <w:szCs w:val="32"/>
        </w:rPr>
        <w:t>13861358963@139.com</w:t>
      </w:r>
      <w:r>
        <w:rPr>
          <w:rFonts w:hint="eastAsia" w:ascii="方正仿宋简体" w:hAnsi="方正仿宋简体" w:eastAsia="方正仿宋简体" w:cs="方正仿宋简体"/>
          <w:sz w:val="32"/>
          <w:szCs w:val="32"/>
        </w:rPr>
        <w:fldChar w:fldCharType="end"/>
      </w:r>
      <w:r>
        <w:rPr>
          <w:rFonts w:hint="eastAsia" w:ascii="方正仿宋简体" w:hAnsi="方正仿宋简体" w:eastAsia="方正仿宋简体" w:cs="方正仿宋简体"/>
          <w:sz w:val="32"/>
          <w:szCs w:val="32"/>
        </w:rPr>
        <w:t>；微信（或QQ）号：zxs13861358963。</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3.本协议项下的所有合同、函件、通知等以上述通讯方式送达对方公司所在地，均视为法律上的有效通知和送达，不论对方是否签收或拒收。若上述联系方式发生变化，则应及时以书面方式通知对方。</w:t>
      </w:r>
      <w:r>
        <w:rPr>
          <w:rFonts w:hint="eastAsia" w:ascii="宋体" w:hAnsi="宋体" w:cs="宋体"/>
          <w:sz w:val="32"/>
          <w:szCs w:val="32"/>
        </w:rPr>
        <w:t> </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4 </w:t>
      </w:r>
      <w:r>
        <w:rPr>
          <w:rFonts w:hint="eastAsia" w:ascii="方正仿宋简体" w:hAnsi="方正仿宋简体" w:eastAsia="方正仿宋简体" w:cs="方正仿宋简体"/>
          <w:sz w:val="32"/>
          <w:szCs w:val="32"/>
        </w:rPr>
        <w:t>份，出卖人执</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份，买受人执</w:t>
      </w:r>
      <w:r>
        <w:rPr>
          <w:rFonts w:hint="eastAsia" w:ascii="方正仿宋简体" w:hAnsi="方正仿宋简体" w:eastAsia="方正仿宋简体" w:cs="方正仿宋简体"/>
          <w:sz w:val="32"/>
          <w:szCs w:val="32"/>
          <w:u w:val="single"/>
        </w:rPr>
        <w:t xml:space="preserve"> 3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tbl>
      <w:tblPr>
        <w:tblStyle w:val="1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3828"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出卖人：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出卖人（合同专用章）：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住所：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电话：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开户银行：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帐号： </w:t>
            </w:r>
          </w:p>
        </w:tc>
        <w:tc>
          <w:tcPr>
            <w:tcW w:w="5103"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买受人：镇江海纳川物流产业发展有限责任公司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买受人（合同专用章）：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住所：镇江市谏壁镇越河街50号</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电话：0511-88995202</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开户银行：镇江市工商银行谏壁支行</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帐号：1104 0703 0900 0001 648</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本页为镇江海纳川物流产业发展有限责任公司与***公司于****年*月*日签订的《产品买卖合同》（编号：</w:t>
      </w:r>
      <w:r>
        <w:rPr>
          <w:rFonts w:hint="eastAsia" w:ascii="微软雅黑" w:hAnsi="微软雅黑" w:eastAsia="微软雅黑"/>
          <w:color w:val="333333"/>
          <w:sz w:val="26"/>
          <w:szCs w:val="26"/>
          <w:shd w:val="clear" w:color="auto" w:fill="FFFFFF"/>
        </w:rPr>
        <w:t>HJHB-E-2023-****</w:t>
      </w:r>
      <w:r>
        <w:rPr>
          <w:rFonts w:hint="eastAsia" w:ascii="方正仿宋简体" w:hAnsi="方正仿宋简体" w:eastAsia="方正仿宋简体" w:cs="方正仿宋简体"/>
          <w:sz w:val="32"/>
          <w:szCs w:val="32"/>
        </w:rPr>
        <w:t>）合同签章页。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30F87"/>
    <w:rsid w:val="000310BC"/>
    <w:rsid w:val="0003693D"/>
    <w:rsid w:val="00063E06"/>
    <w:rsid w:val="000A22DB"/>
    <w:rsid w:val="000B2499"/>
    <w:rsid w:val="000C1845"/>
    <w:rsid w:val="000D348B"/>
    <w:rsid w:val="000D6A23"/>
    <w:rsid w:val="00103A8D"/>
    <w:rsid w:val="00115EEC"/>
    <w:rsid w:val="001260B7"/>
    <w:rsid w:val="00136B0D"/>
    <w:rsid w:val="00160290"/>
    <w:rsid w:val="00166793"/>
    <w:rsid w:val="0018234A"/>
    <w:rsid w:val="001915A1"/>
    <w:rsid w:val="00193418"/>
    <w:rsid w:val="00196EA5"/>
    <w:rsid w:val="001A7FE6"/>
    <w:rsid w:val="001B4C8E"/>
    <w:rsid w:val="001C3F61"/>
    <w:rsid w:val="001F16BE"/>
    <w:rsid w:val="00210C67"/>
    <w:rsid w:val="002133E5"/>
    <w:rsid w:val="0024696A"/>
    <w:rsid w:val="002B3E65"/>
    <w:rsid w:val="002F51AC"/>
    <w:rsid w:val="002F66BD"/>
    <w:rsid w:val="0031037C"/>
    <w:rsid w:val="00313EBC"/>
    <w:rsid w:val="00325814"/>
    <w:rsid w:val="00331F42"/>
    <w:rsid w:val="00355E41"/>
    <w:rsid w:val="003702A0"/>
    <w:rsid w:val="003732C8"/>
    <w:rsid w:val="00380BAA"/>
    <w:rsid w:val="0038382E"/>
    <w:rsid w:val="00383D99"/>
    <w:rsid w:val="00384194"/>
    <w:rsid w:val="00394D6B"/>
    <w:rsid w:val="003B4E51"/>
    <w:rsid w:val="003C384A"/>
    <w:rsid w:val="00413897"/>
    <w:rsid w:val="00423C19"/>
    <w:rsid w:val="004424E8"/>
    <w:rsid w:val="00466243"/>
    <w:rsid w:val="004875EB"/>
    <w:rsid w:val="004975D5"/>
    <w:rsid w:val="004C1280"/>
    <w:rsid w:val="004C289D"/>
    <w:rsid w:val="004F5E27"/>
    <w:rsid w:val="00527733"/>
    <w:rsid w:val="0053268D"/>
    <w:rsid w:val="00560EB5"/>
    <w:rsid w:val="005D4F71"/>
    <w:rsid w:val="0061433F"/>
    <w:rsid w:val="006545BB"/>
    <w:rsid w:val="006734DC"/>
    <w:rsid w:val="006835A9"/>
    <w:rsid w:val="00693CB5"/>
    <w:rsid w:val="006C09FB"/>
    <w:rsid w:val="006D00BD"/>
    <w:rsid w:val="006D3CEC"/>
    <w:rsid w:val="006D5E62"/>
    <w:rsid w:val="0070428B"/>
    <w:rsid w:val="00711ACD"/>
    <w:rsid w:val="00724955"/>
    <w:rsid w:val="007254B5"/>
    <w:rsid w:val="00753CD1"/>
    <w:rsid w:val="00781AF0"/>
    <w:rsid w:val="00786EDE"/>
    <w:rsid w:val="007875CD"/>
    <w:rsid w:val="007D12CA"/>
    <w:rsid w:val="007D630F"/>
    <w:rsid w:val="007E0D6B"/>
    <w:rsid w:val="007E6E47"/>
    <w:rsid w:val="00823974"/>
    <w:rsid w:val="0083404A"/>
    <w:rsid w:val="00842B41"/>
    <w:rsid w:val="00856599"/>
    <w:rsid w:val="00882A3F"/>
    <w:rsid w:val="008C785B"/>
    <w:rsid w:val="008D2F65"/>
    <w:rsid w:val="008D5377"/>
    <w:rsid w:val="00900A5B"/>
    <w:rsid w:val="0091028A"/>
    <w:rsid w:val="0093613E"/>
    <w:rsid w:val="00975ECA"/>
    <w:rsid w:val="00981E93"/>
    <w:rsid w:val="009A29A7"/>
    <w:rsid w:val="009C7CE7"/>
    <w:rsid w:val="009D1883"/>
    <w:rsid w:val="009D21BB"/>
    <w:rsid w:val="00A30621"/>
    <w:rsid w:val="00A47E98"/>
    <w:rsid w:val="00A63D7F"/>
    <w:rsid w:val="00A7381A"/>
    <w:rsid w:val="00A81560"/>
    <w:rsid w:val="00AB6095"/>
    <w:rsid w:val="00AC569D"/>
    <w:rsid w:val="00AF29F9"/>
    <w:rsid w:val="00B01341"/>
    <w:rsid w:val="00B0144D"/>
    <w:rsid w:val="00B353E5"/>
    <w:rsid w:val="00B51C96"/>
    <w:rsid w:val="00B63039"/>
    <w:rsid w:val="00B7406B"/>
    <w:rsid w:val="00B74619"/>
    <w:rsid w:val="00B82A10"/>
    <w:rsid w:val="00B82CED"/>
    <w:rsid w:val="00BD78FB"/>
    <w:rsid w:val="00BF2809"/>
    <w:rsid w:val="00C258E8"/>
    <w:rsid w:val="00C31E40"/>
    <w:rsid w:val="00C41533"/>
    <w:rsid w:val="00C56465"/>
    <w:rsid w:val="00C743A3"/>
    <w:rsid w:val="00C97E7F"/>
    <w:rsid w:val="00D24639"/>
    <w:rsid w:val="00D32CC0"/>
    <w:rsid w:val="00D74586"/>
    <w:rsid w:val="00DA002C"/>
    <w:rsid w:val="00DD194E"/>
    <w:rsid w:val="00DD7DB9"/>
    <w:rsid w:val="00E45A9C"/>
    <w:rsid w:val="00E50D02"/>
    <w:rsid w:val="00E74639"/>
    <w:rsid w:val="00E9659A"/>
    <w:rsid w:val="00EB7745"/>
    <w:rsid w:val="00ED1B47"/>
    <w:rsid w:val="00F0109D"/>
    <w:rsid w:val="00F16E4B"/>
    <w:rsid w:val="00F32DB5"/>
    <w:rsid w:val="00F33B17"/>
    <w:rsid w:val="00F45B42"/>
    <w:rsid w:val="00F54AE9"/>
    <w:rsid w:val="00F75185"/>
    <w:rsid w:val="00FA1409"/>
    <w:rsid w:val="00FF1217"/>
    <w:rsid w:val="00FF61CA"/>
    <w:rsid w:val="09E67744"/>
    <w:rsid w:val="0CCD460E"/>
    <w:rsid w:val="11E467E9"/>
    <w:rsid w:val="1444244B"/>
    <w:rsid w:val="14EA645D"/>
    <w:rsid w:val="19181A3A"/>
    <w:rsid w:val="225D796E"/>
    <w:rsid w:val="24EC6623"/>
    <w:rsid w:val="2A98798D"/>
    <w:rsid w:val="2BBD3669"/>
    <w:rsid w:val="2E16582B"/>
    <w:rsid w:val="2E4116FA"/>
    <w:rsid w:val="31262BAF"/>
    <w:rsid w:val="330F093A"/>
    <w:rsid w:val="34E37CA8"/>
    <w:rsid w:val="359E47FF"/>
    <w:rsid w:val="35B72FCB"/>
    <w:rsid w:val="35DA3E68"/>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 w:type="character" w:customStyle="1" w:styleId="16">
    <w:name w:val="批注文字 Char"/>
    <w:basedOn w:val="12"/>
    <w:link w:val="3"/>
    <w:qFormat/>
    <w:uiPriority w:val="0"/>
    <w:rPr>
      <w:rFonts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1377</Words>
  <Characters>7851</Characters>
  <Lines>65</Lines>
  <Paragraphs>18</Paragraphs>
  <TotalTime>0</TotalTime>
  <ScaleCrop>false</ScaleCrop>
  <LinksUpToDate>false</LinksUpToDate>
  <CharactersWithSpaces>9210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邵蕾✨</cp:lastModifiedBy>
  <cp:lastPrinted>2023-07-10T01:32:00Z</cp:lastPrinted>
  <dcterms:modified xsi:type="dcterms:W3CDTF">2023-07-25T06:27:54Z</dcterms:modified>
  <dc:title>镇江海纳川物流产业发展有限责任公司</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E617128971214F11A0A6819B265D0306</vt:lpwstr>
  </property>
</Properties>
</file>