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我公司现</w:t>
      </w:r>
      <w:r>
        <w:rPr>
          <w:rFonts w:hint="eastAsia" w:ascii="仿宋" w:hAnsi="仿宋" w:eastAsia="仿宋" w:cs="方正仿宋简体"/>
          <w:bCs/>
          <w:sz w:val="32"/>
          <w:szCs w:val="32"/>
          <w:lang w:val="zh-CN"/>
        </w:rPr>
        <w:t>采用</w:t>
      </w:r>
      <w:r>
        <w:rPr>
          <w:rFonts w:hint="eastAsia" w:ascii="仿宋" w:hAnsi="仿宋" w:eastAsia="仿宋" w:cs="方正仿宋简体"/>
          <w:bCs/>
          <w:color w:val="000000"/>
          <w:sz w:val="32"/>
          <w:szCs w:val="32"/>
          <w:lang w:val="zh-CN"/>
        </w:rPr>
        <w:t>（自主公开招标</w:t>
      </w:r>
      <w:r>
        <w:rPr>
          <w:rFonts w:hint="eastAsia" w:ascii="仿宋" w:hAnsi="仿宋" w:eastAsia="仿宋" w:cs="方正仿宋简体"/>
          <w:bCs/>
          <w:color w:val="000000"/>
          <w:sz w:val="32"/>
          <w:szCs w:val="32"/>
        </w:rPr>
        <w:t>）</w:t>
      </w:r>
      <w:r>
        <w:rPr>
          <w:rFonts w:hint="eastAsia" w:ascii="仿宋" w:hAnsi="仿宋" w:eastAsia="仿宋" w:cs="方正仿宋简体"/>
          <w:bCs/>
          <w:sz w:val="32"/>
          <w:szCs w:val="32"/>
          <w:lang w:val="zh-CN"/>
        </w:rPr>
        <w:t>的方式选定供应商，</w:t>
      </w:r>
      <w:r>
        <w:rPr>
          <w:rFonts w:hint="eastAsia" w:ascii="仿宋" w:hAnsi="仿宋" w:eastAsia="仿宋" w:cs="方正仿宋简体"/>
          <w:bCs/>
          <w:color w:val="000000"/>
          <w:sz w:val="32"/>
          <w:szCs w:val="32"/>
          <w:lang w:val="zh-CN"/>
        </w:rPr>
        <w:t>（</w:t>
      </w:r>
      <w:r>
        <w:rPr>
          <w:rFonts w:hint="eastAsia" w:ascii="仿宋" w:hAnsi="仿宋" w:eastAsia="仿宋" w:cs="方正仿宋简体"/>
          <w:color w:val="000000"/>
          <w:sz w:val="32"/>
          <w:szCs w:val="32"/>
        </w:rPr>
        <w:t>欢迎具有相关资质的厂商前来投标</w:t>
      </w:r>
      <w:r>
        <w:rPr>
          <w:rFonts w:hint="eastAsia" w:ascii="仿宋" w:hAnsi="仿宋" w:eastAsia="仿宋" w:cs="方正仿宋简体"/>
          <w:bCs/>
          <w:color w:val="000000"/>
          <w:sz w:val="32"/>
          <w:szCs w:val="32"/>
        </w:rPr>
        <w:t>参与投标）</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黑体_GBK"/>
          <w:sz w:val="32"/>
          <w:szCs w:val="32"/>
        </w:rPr>
        <w:t>一、招标概况</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（一）</w:t>
      </w:r>
      <w:r>
        <w:rPr>
          <w:rFonts w:hint="eastAsia" w:ascii="仿宋" w:hAnsi="仿宋" w:eastAsia="仿宋" w:cs="方正仿宋简体"/>
          <w:bCs/>
          <w:sz w:val="32"/>
          <w:szCs w:val="32"/>
        </w:rPr>
        <w:t>项目名称：</w:t>
      </w:r>
      <w:r>
        <w:rPr>
          <w:rFonts w:hint="eastAsia" w:ascii="仿宋" w:hAnsi="仿宋" w:eastAsia="仿宋" w:cs="方正仿宋简体"/>
          <w:bCs/>
          <w:sz w:val="32"/>
          <w:szCs w:val="32"/>
          <w:u w:val="single"/>
        </w:rPr>
        <w:t>20230724废旧物资处置</w:t>
      </w:r>
      <w:r>
        <w:rPr>
          <w:rFonts w:hint="eastAsia" w:ascii="仿宋" w:hAnsi="仿宋" w:eastAsia="仿宋" w:cs="方正仿宋简体"/>
          <w:bCs/>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（二）</w:t>
      </w:r>
      <w:r>
        <w:rPr>
          <w:rFonts w:hint="eastAsia" w:ascii="仿宋" w:hAnsi="仿宋" w:eastAsia="仿宋" w:cs="方正仿宋简体"/>
          <w:sz w:val="32"/>
          <w:szCs w:val="32"/>
        </w:rPr>
        <w:t>交货时间：</w:t>
      </w:r>
      <w:r>
        <w:rPr>
          <w:rFonts w:hint="eastAsia" w:ascii="仿宋" w:hAnsi="仿宋" w:eastAsia="仿宋" w:cs="方正仿宋简体"/>
          <w:sz w:val="32"/>
          <w:szCs w:val="32"/>
          <w:u w:val="single"/>
        </w:rPr>
        <w:t>合同签订后30个工作日内完成废旧物资处置工作（节假日、雨天顺延）；</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（三）</w:t>
      </w:r>
      <w:r>
        <w:rPr>
          <w:rFonts w:hint="eastAsia" w:ascii="仿宋" w:hAnsi="仿宋" w:eastAsia="仿宋" w:cs="方正仿宋简体"/>
          <w:sz w:val="32"/>
          <w:szCs w:val="32"/>
        </w:rPr>
        <w:t>交货地点：</w:t>
      </w:r>
      <w:r>
        <w:rPr>
          <w:rFonts w:hint="eastAsia" w:ascii="仿宋" w:hAnsi="仿宋" w:eastAsia="仿宋" w:cs="方正仿宋简体"/>
          <w:sz w:val="32"/>
          <w:szCs w:val="32"/>
          <w:u w:val="single"/>
        </w:rPr>
        <w:t>镇江海纳川物流产业发展有限责任公司；</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（四）</w:t>
      </w:r>
      <w:r>
        <w:rPr>
          <w:rFonts w:hint="eastAsia" w:ascii="仿宋" w:hAnsi="仿宋" w:eastAsia="仿宋" w:cs="方正仿宋简体"/>
          <w:sz w:val="32"/>
          <w:szCs w:val="32"/>
        </w:rPr>
        <w:t>投标截止时间：</w:t>
      </w:r>
      <w:r>
        <w:rPr>
          <w:rFonts w:hint="eastAsia" w:ascii="仿宋" w:hAnsi="仿宋" w:eastAsia="仿宋" w:cs="方正仿宋简体"/>
          <w:sz w:val="32"/>
          <w:szCs w:val="32"/>
          <w:u w:val="single"/>
          <w:lang w:val="en-US" w:eastAsia="zh-CN"/>
        </w:rPr>
        <w:t>2023年8月</w:t>
      </w:r>
      <w:bookmarkStart w:id="0" w:name="_GoBack"/>
      <w:bookmarkEnd w:id="0"/>
      <w:r>
        <w:rPr>
          <w:rFonts w:hint="eastAsia" w:ascii="仿宋" w:hAnsi="仿宋" w:eastAsia="仿宋" w:cs="方正仿宋简体"/>
          <w:sz w:val="32"/>
          <w:szCs w:val="32"/>
          <w:u w:val="single"/>
          <w:lang w:val="en-US" w:eastAsia="zh-CN"/>
        </w:rPr>
        <w:t>1日上午9点30分</w:t>
      </w:r>
      <w:r>
        <w:rPr>
          <w:rFonts w:hint="eastAsia" w:ascii="仿宋" w:hAnsi="仿宋" w:eastAsia="仿宋" w:cs="方正仿宋简体"/>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（五）</w:t>
      </w:r>
      <w:r>
        <w:rPr>
          <w:rFonts w:hint="eastAsia" w:ascii="仿宋" w:hAnsi="仿宋" w:eastAsia="仿宋" w:cs="方正仿宋简体"/>
          <w:sz w:val="32"/>
          <w:szCs w:val="32"/>
        </w:rPr>
        <w:t>初定开标时间：</w:t>
      </w:r>
      <w:r>
        <w:rPr>
          <w:rFonts w:hint="eastAsia" w:ascii="仿宋" w:hAnsi="仿宋" w:eastAsia="仿宋" w:cs="方正仿宋简体"/>
          <w:sz w:val="32"/>
          <w:szCs w:val="32"/>
          <w:u w:val="single"/>
          <w:lang w:val="en-US" w:eastAsia="zh-CN"/>
        </w:rPr>
        <w:t>2023年8月1日上午9点30分</w:t>
      </w:r>
      <w:r>
        <w:rPr>
          <w:rFonts w:hint="eastAsia" w:ascii="仿宋" w:hAnsi="仿宋" w:eastAsia="仿宋" w:cs="方正仿宋简体"/>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（六）</w:t>
      </w:r>
      <w:r>
        <w:rPr>
          <w:rFonts w:hint="eastAsia" w:ascii="仿宋" w:hAnsi="仿宋" w:eastAsia="仿宋" w:cs="方正仿宋简体"/>
          <w:sz w:val="32"/>
          <w:szCs w:val="32"/>
        </w:rPr>
        <w:t>开标地点：</w:t>
      </w:r>
      <w:r>
        <w:rPr>
          <w:rFonts w:hint="eastAsia" w:ascii="仿宋" w:hAnsi="仿宋" w:eastAsia="仿宋" w:cs="方正仿宋简体"/>
          <w:sz w:val="32"/>
          <w:szCs w:val="32"/>
          <w:u w:val="single"/>
        </w:rPr>
        <w:t>镇江海纳川物流产业发展有限责任公司210会议室</w:t>
      </w:r>
      <w:r>
        <w:rPr>
          <w:rFonts w:hint="eastAsia" w:ascii="仿宋" w:hAnsi="仿宋" w:eastAsia="仿宋" w:cs="方正仿宋简体"/>
          <w:sz w:val="32"/>
          <w:szCs w:val="32"/>
        </w:rPr>
        <w:t>；</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楷体_GBK"/>
          <w:sz w:val="32"/>
          <w:szCs w:val="32"/>
        </w:rPr>
        <w:t>（七）</w:t>
      </w:r>
      <w:r>
        <w:rPr>
          <w:rFonts w:hint="eastAsia" w:ascii="仿宋" w:hAnsi="仿宋" w:eastAsia="仿宋" w:cs="方正仿宋简体"/>
          <w:sz w:val="32"/>
          <w:szCs w:val="32"/>
        </w:rPr>
        <w:t>中标公示：中标信息将于开标后在海纳川官网公示，请各投标人登录</w:t>
      </w:r>
      <w:r>
        <w:rPr>
          <w:rFonts w:hint="eastAsia" w:ascii="仿宋" w:hAnsi="仿宋" w:eastAsia="仿宋" w:cs="方正仿宋简体"/>
          <w:bCs/>
          <w:sz w:val="32"/>
          <w:szCs w:val="32"/>
        </w:rPr>
        <w:t>http://www.zjshnc.com</w:t>
      </w:r>
      <w:r>
        <w:rPr>
          <w:rFonts w:hint="eastAsia" w:ascii="仿宋" w:hAnsi="仿宋" w:eastAsia="仿宋" w:cs="方正仿宋简体"/>
          <w:sz w:val="32"/>
          <w:szCs w:val="32"/>
        </w:rPr>
        <w:t>查询。</w:t>
      </w:r>
    </w:p>
    <w:p>
      <w:pPr>
        <w:wordWrap w:val="0"/>
        <w:ind w:firstLine="640" w:firstLineChars="200"/>
        <w:jc w:val="left"/>
        <w:rPr>
          <w:rFonts w:ascii="仿宋" w:hAnsi="仿宋" w:eastAsia="仿宋" w:cs="方正黑体_GBK"/>
          <w:sz w:val="32"/>
          <w:szCs w:val="32"/>
        </w:rPr>
      </w:pPr>
      <w:r>
        <w:rPr>
          <w:rFonts w:hint="eastAsia" w:ascii="仿宋" w:hAnsi="仿宋" w:eastAsia="仿宋" w:cs="方正黑体_GBK"/>
          <w:sz w:val="32"/>
          <w:szCs w:val="32"/>
        </w:rPr>
        <w:t>二、招标内容</w:t>
      </w:r>
    </w:p>
    <w:tbl>
      <w:tblPr>
        <w:tblStyle w:val="10"/>
        <w:tblW w:w="8476" w:type="dxa"/>
        <w:jc w:val="center"/>
        <w:tblLayout w:type="fixed"/>
        <w:tblCellMar>
          <w:top w:w="0" w:type="dxa"/>
          <w:left w:w="108" w:type="dxa"/>
          <w:bottom w:w="0" w:type="dxa"/>
          <w:right w:w="108" w:type="dxa"/>
        </w:tblCellMar>
      </w:tblPr>
      <w:tblGrid>
        <w:gridCol w:w="3894"/>
        <w:gridCol w:w="1660"/>
        <w:gridCol w:w="2922"/>
      </w:tblGrid>
      <w:tr>
        <w:tblPrEx>
          <w:tblCellMar>
            <w:top w:w="0" w:type="dxa"/>
            <w:left w:w="108" w:type="dxa"/>
            <w:bottom w:w="0" w:type="dxa"/>
            <w:right w:w="108" w:type="dxa"/>
          </w:tblCellMar>
        </w:tblPrEx>
        <w:trPr>
          <w:trHeight w:val="697" w:hRule="exact"/>
          <w:jc w:val="center"/>
        </w:trPr>
        <w:tc>
          <w:tcPr>
            <w:tcW w:w="38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_GB2312"/>
                <w:sz w:val="28"/>
                <w:szCs w:val="28"/>
              </w:rPr>
            </w:pPr>
            <w:r>
              <w:rPr>
                <w:rFonts w:hint="eastAsia" w:ascii="仿宋" w:hAnsi="仿宋" w:eastAsia="仿宋" w:cs="仿宋_GB2312"/>
                <w:sz w:val="28"/>
                <w:szCs w:val="28"/>
              </w:rPr>
              <w:t>名        称</w:t>
            </w:r>
          </w:p>
        </w:tc>
        <w:tc>
          <w:tcPr>
            <w:tcW w:w="166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_GB2312"/>
                <w:sz w:val="28"/>
                <w:szCs w:val="28"/>
              </w:rPr>
            </w:pPr>
            <w:r>
              <w:rPr>
                <w:rFonts w:hint="eastAsia" w:ascii="仿宋" w:hAnsi="仿宋" w:eastAsia="仿宋" w:cs="仿宋_GB2312"/>
                <w:sz w:val="28"/>
                <w:szCs w:val="28"/>
              </w:rPr>
              <w:t>单位</w:t>
            </w:r>
          </w:p>
        </w:tc>
        <w:tc>
          <w:tcPr>
            <w:tcW w:w="292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_GB2312"/>
                <w:sz w:val="28"/>
                <w:szCs w:val="28"/>
              </w:rPr>
            </w:pPr>
            <w:r>
              <w:rPr>
                <w:rFonts w:hint="eastAsia" w:ascii="仿宋" w:hAnsi="仿宋" w:eastAsia="仿宋" w:cs="仿宋_GB2312"/>
                <w:sz w:val="28"/>
                <w:szCs w:val="28"/>
              </w:rPr>
              <w:t>数量(预估)</w:t>
            </w:r>
          </w:p>
        </w:tc>
      </w:tr>
      <w:tr>
        <w:tblPrEx>
          <w:tblCellMar>
            <w:top w:w="0" w:type="dxa"/>
            <w:left w:w="108" w:type="dxa"/>
            <w:bottom w:w="0" w:type="dxa"/>
            <w:right w:w="108" w:type="dxa"/>
          </w:tblCellMar>
        </w:tblPrEx>
        <w:trPr>
          <w:trHeight w:val="697" w:hRule="exact"/>
          <w:jc w:val="center"/>
        </w:trPr>
        <w:tc>
          <w:tcPr>
            <w:tcW w:w="38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废不锈钢(304)</w:t>
            </w:r>
          </w:p>
        </w:tc>
        <w:tc>
          <w:tcPr>
            <w:tcW w:w="1660" w:type="dxa"/>
            <w:tcBorders>
              <w:top w:val="single" w:color="000000" w:sz="4" w:space="0"/>
              <w:left w:val="nil"/>
              <w:bottom w:val="single" w:color="000000" w:sz="4" w:space="0"/>
              <w:right w:val="single" w:color="000000" w:sz="4" w:space="0"/>
            </w:tcBorders>
            <w:vAlign w:val="center"/>
          </w:tcPr>
          <w:p>
            <w:pPr>
              <w:widowControl/>
              <w:ind w:firstLine="140" w:firstLineChars="50"/>
              <w:jc w:val="center"/>
              <w:rPr>
                <w:rFonts w:ascii="仿宋" w:hAnsi="仿宋" w:eastAsia="仿宋" w:cs="仿宋_GB2312"/>
                <w:sz w:val="28"/>
                <w:szCs w:val="28"/>
              </w:rPr>
            </w:pPr>
            <w:r>
              <w:rPr>
                <w:rFonts w:hint="eastAsia" w:ascii="仿宋" w:hAnsi="仿宋" w:eastAsia="仿宋" w:cs="仿宋_GB2312"/>
                <w:sz w:val="28"/>
                <w:szCs w:val="28"/>
              </w:rPr>
              <w:t>吨</w:t>
            </w:r>
          </w:p>
        </w:tc>
        <w:tc>
          <w:tcPr>
            <w:tcW w:w="292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_GB2312"/>
                <w:sz w:val="28"/>
                <w:szCs w:val="28"/>
              </w:rPr>
            </w:pPr>
            <w:r>
              <w:rPr>
                <w:rFonts w:hint="eastAsia" w:ascii="仿宋" w:hAnsi="仿宋" w:eastAsia="仿宋" w:cs="仿宋_GB2312"/>
                <w:sz w:val="28"/>
                <w:szCs w:val="28"/>
              </w:rPr>
              <w:t>0.2</w:t>
            </w:r>
          </w:p>
        </w:tc>
      </w:tr>
      <w:tr>
        <w:tblPrEx>
          <w:tblCellMar>
            <w:top w:w="0" w:type="dxa"/>
            <w:left w:w="108" w:type="dxa"/>
            <w:bottom w:w="0" w:type="dxa"/>
            <w:right w:w="108" w:type="dxa"/>
          </w:tblCellMar>
        </w:tblPrEx>
        <w:trPr>
          <w:trHeight w:val="700" w:hRule="exact"/>
          <w:jc w:val="center"/>
        </w:trPr>
        <w:tc>
          <w:tcPr>
            <w:tcW w:w="389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废  钢</w:t>
            </w:r>
          </w:p>
        </w:tc>
        <w:tc>
          <w:tcPr>
            <w:tcW w:w="1660" w:type="dxa"/>
            <w:tcBorders>
              <w:top w:val="single" w:color="000000" w:sz="4" w:space="0"/>
              <w:left w:val="nil"/>
              <w:bottom w:val="single" w:color="000000" w:sz="4" w:space="0"/>
              <w:right w:val="single" w:color="000000" w:sz="4" w:space="0"/>
            </w:tcBorders>
            <w:vAlign w:val="center"/>
          </w:tcPr>
          <w:p>
            <w:pPr>
              <w:widowControl/>
              <w:ind w:firstLine="140" w:firstLineChars="50"/>
              <w:jc w:val="center"/>
              <w:rPr>
                <w:rFonts w:ascii="仿宋" w:hAnsi="仿宋" w:eastAsia="仿宋" w:cs="仿宋_GB2312"/>
                <w:sz w:val="28"/>
                <w:szCs w:val="28"/>
              </w:rPr>
            </w:pPr>
            <w:r>
              <w:rPr>
                <w:rFonts w:hint="eastAsia" w:ascii="仿宋" w:hAnsi="仿宋" w:eastAsia="仿宋" w:cs="仿宋_GB2312"/>
                <w:sz w:val="28"/>
                <w:szCs w:val="28"/>
              </w:rPr>
              <w:t>吨</w:t>
            </w:r>
          </w:p>
        </w:tc>
        <w:tc>
          <w:tcPr>
            <w:tcW w:w="292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_GB2312"/>
                <w:sz w:val="28"/>
                <w:szCs w:val="28"/>
              </w:rPr>
            </w:pPr>
            <w:r>
              <w:rPr>
                <w:rFonts w:hint="eastAsia" w:ascii="仿宋" w:hAnsi="仿宋" w:eastAsia="仿宋" w:cs="仿宋_GB2312"/>
                <w:sz w:val="28"/>
                <w:szCs w:val="28"/>
              </w:rPr>
              <w:t>115</w:t>
            </w:r>
          </w:p>
        </w:tc>
      </w:tr>
      <w:tr>
        <w:tblPrEx>
          <w:tblCellMar>
            <w:top w:w="0" w:type="dxa"/>
            <w:left w:w="108" w:type="dxa"/>
            <w:bottom w:w="0" w:type="dxa"/>
            <w:right w:w="108" w:type="dxa"/>
          </w:tblCellMar>
        </w:tblPrEx>
        <w:trPr>
          <w:trHeight w:val="710" w:hRule="exact"/>
          <w:jc w:val="center"/>
        </w:trPr>
        <w:tc>
          <w:tcPr>
            <w:tcW w:w="3894" w:type="dxa"/>
            <w:tcBorders>
              <w:top w:val="nil"/>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废</w:t>
            </w:r>
            <w:r>
              <w:rPr>
                <w:rFonts w:ascii="仿宋" w:hAnsi="仿宋" w:eastAsia="仿宋" w:cs="仿宋_GB2312"/>
                <w:sz w:val="28"/>
                <w:szCs w:val="28"/>
              </w:rPr>
              <w:t>橡胶护舷</w:t>
            </w:r>
          </w:p>
        </w:tc>
        <w:tc>
          <w:tcPr>
            <w:tcW w:w="1660" w:type="dxa"/>
            <w:tcBorders>
              <w:top w:val="nil"/>
              <w:left w:val="nil"/>
              <w:bottom w:val="single" w:color="000000" w:sz="4" w:space="0"/>
              <w:right w:val="single" w:color="000000" w:sz="4" w:space="0"/>
            </w:tcBorders>
            <w:vAlign w:val="center"/>
          </w:tcPr>
          <w:p>
            <w:pPr>
              <w:widowControl/>
              <w:ind w:firstLine="140" w:firstLineChars="50"/>
              <w:jc w:val="center"/>
              <w:rPr>
                <w:rFonts w:ascii="仿宋" w:hAnsi="仿宋" w:eastAsia="仿宋" w:cs="仿宋_GB2312"/>
                <w:sz w:val="28"/>
                <w:szCs w:val="28"/>
              </w:rPr>
            </w:pPr>
            <w:r>
              <w:rPr>
                <w:rFonts w:hint="eastAsia" w:ascii="仿宋" w:hAnsi="仿宋" w:eastAsia="仿宋" w:cs="仿宋_GB2312"/>
                <w:sz w:val="28"/>
                <w:szCs w:val="28"/>
              </w:rPr>
              <w:t>只</w:t>
            </w:r>
          </w:p>
        </w:tc>
        <w:tc>
          <w:tcPr>
            <w:tcW w:w="2922" w:type="dxa"/>
            <w:tcBorders>
              <w:top w:val="nil"/>
              <w:left w:val="nil"/>
              <w:bottom w:val="single" w:color="000000" w:sz="4" w:space="0"/>
              <w:right w:val="single" w:color="000000" w:sz="4" w:space="0"/>
            </w:tcBorders>
            <w:vAlign w:val="center"/>
          </w:tcPr>
          <w:p>
            <w:pPr>
              <w:widowControl/>
              <w:jc w:val="center"/>
              <w:rPr>
                <w:rFonts w:ascii="仿宋" w:hAnsi="仿宋" w:eastAsia="仿宋" w:cs="仿宋_GB2312"/>
                <w:sz w:val="28"/>
                <w:szCs w:val="28"/>
              </w:rPr>
            </w:pPr>
            <w:r>
              <w:rPr>
                <w:rFonts w:hint="eastAsia" w:ascii="仿宋" w:hAnsi="仿宋" w:eastAsia="仿宋" w:cs="仿宋_GB2312"/>
                <w:sz w:val="28"/>
                <w:szCs w:val="28"/>
              </w:rPr>
              <w:t>25</w:t>
            </w:r>
          </w:p>
        </w:tc>
      </w:tr>
    </w:tbl>
    <w:p>
      <w:pPr>
        <w:topLinePunct/>
        <w:spacing w:line="360" w:lineRule="auto"/>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质量要求及技术标准：</w:t>
      </w:r>
    </w:p>
    <w:p>
      <w:pPr>
        <w:topLinePunct/>
        <w:spacing w:line="360" w:lineRule="auto"/>
        <w:ind w:firstLine="640" w:firstLineChars="200"/>
        <w:jc w:val="left"/>
        <w:rPr>
          <w:rFonts w:ascii="仿宋" w:hAnsi="仿宋" w:eastAsia="仿宋" w:cs="方正仿宋简体"/>
          <w:color w:val="0000FF"/>
          <w:kern w:val="1"/>
          <w:sz w:val="32"/>
          <w:szCs w:val="32"/>
        </w:rPr>
      </w:pPr>
      <w:r>
        <w:rPr>
          <w:rFonts w:hint="eastAsia" w:ascii="仿宋" w:hAnsi="仿宋" w:eastAsia="仿宋" w:cs="方正仿宋简体"/>
          <w:kern w:val="1"/>
          <w:sz w:val="32"/>
          <w:szCs w:val="32"/>
        </w:rPr>
        <w:t>（一）投标方必须对招标方现场进行实地考察，并详细了解现场工作状况，充分考虑招标方现场作业安排影响</w:t>
      </w:r>
      <w:r>
        <w:rPr>
          <w:rFonts w:hint="eastAsia" w:ascii="仿宋" w:hAnsi="仿宋" w:eastAsia="仿宋" w:cs="方正仿宋简体"/>
          <w:color w:val="000000" w:themeColor="text1"/>
          <w:kern w:val="1"/>
          <w:sz w:val="32"/>
          <w:szCs w:val="32"/>
        </w:rPr>
        <w:t>。</w:t>
      </w:r>
    </w:p>
    <w:p>
      <w:pPr>
        <w:topLinePunct/>
        <w:spacing w:line="360" w:lineRule="auto"/>
        <w:ind w:firstLine="640" w:firstLineChars="200"/>
        <w:jc w:val="left"/>
        <w:rPr>
          <w:rFonts w:ascii="仿宋" w:hAnsi="仿宋" w:eastAsia="仿宋" w:cs="方正仿宋简体"/>
          <w:color w:val="0000FF"/>
          <w:kern w:val="1"/>
          <w:sz w:val="32"/>
          <w:szCs w:val="32"/>
        </w:rPr>
      </w:pPr>
      <w:r>
        <w:rPr>
          <w:rFonts w:hint="eastAsia" w:ascii="仿宋" w:hAnsi="仿宋" w:eastAsia="仿宋" w:cs="方正仿宋简体"/>
          <w:kern w:val="1"/>
          <w:sz w:val="32"/>
          <w:szCs w:val="32"/>
        </w:rPr>
        <w:t>（二）</w:t>
      </w:r>
      <w:r>
        <w:rPr>
          <w:rFonts w:hint="eastAsia" w:ascii="仿宋" w:hAnsi="仿宋" w:eastAsia="仿宋" w:cs="方正仿宋简体"/>
          <w:color w:val="000000" w:themeColor="text1"/>
          <w:kern w:val="1"/>
          <w:sz w:val="32"/>
          <w:szCs w:val="32"/>
        </w:rPr>
        <w:t>所有拆除装卸运输废旧物资的费用及清运垃圾的费用均由中标方承担，现场及处置产生的垃圾由中标方自行清运和处理，不得倒在厂区内，处置结束保持现场整洁，处置过程中发生的一切安全事故由中标方自负。</w:t>
      </w:r>
    </w:p>
    <w:p>
      <w:pPr>
        <w:topLinePunct/>
        <w:spacing w:line="360" w:lineRule="auto"/>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（三）</w:t>
      </w:r>
      <w:r>
        <w:rPr>
          <w:rFonts w:hint="eastAsia" w:ascii="仿宋" w:hAnsi="仿宋" w:eastAsia="仿宋" w:cs="方正仿宋简体"/>
          <w:color w:val="FF0000"/>
          <w:kern w:val="1"/>
          <w:sz w:val="32"/>
          <w:szCs w:val="32"/>
        </w:rPr>
        <w:t>招标人拟定于2023年7月26日至2023年7月28日组织有意向投标人踏勘项目现场。</w:t>
      </w:r>
      <w:r>
        <w:rPr>
          <w:rFonts w:hint="eastAsia" w:ascii="仿宋" w:hAnsi="仿宋" w:eastAsia="仿宋" w:cs="方正仿宋简体"/>
          <w:kern w:val="1"/>
          <w:sz w:val="32"/>
          <w:szCs w:val="32"/>
        </w:rPr>
        <w:t>对投标单位介绍现场施工状况以及此次招标的相关工作量，具体时间请与技术联系人确定，对于在规定时间实地考察的投标单位招标方将做好记录，</w:t>
      </w:r>
      <w:r>
        <w:rPr>
          <w:rFonts w:hint="eastAsia" w:ascii="仿宋" w:hAnsi="仿宋" w:eastAsia="仿宋" w:cs="方正仿宋简体"/>
          <w:color w:val="FF0000"/>
          <w:kern w:val="1"/>
          <w:sz w:val="32"/>
          <w:szCs w:val="32"/>
        </w:rPr>
        <w:t>对于未按规定时间实地考察的投标单位投标报价无效</w:t>
      </w:r>
      <w:r>
        <w:rPr>
          <w:rFonts w:hint="eastAsia" w:ascii="仿宋" w:hAnsi="仿宋" w:eastAsia="仿宋" w:cs="方正仿宋简体"/>
          <w:kern w:val="1"/>
          <w:sz w:val="32"/>
          <w:szCs w:val="32"/>
        </w:rPr>
        <w:t>。</w:t>
      </w:r>
    </w:p>
    <w:p>
      <w:pPr>
        <w:topLinePunct/>
        <w:spacing w:line="360" w:lineRule="auto"/>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（四）投标方不得恶意报价，如若报价明显偏离正常市场价格，则按废标处理，且将投标单位列入负面清单。</w:t>
      </w:r>
    </w:p>
    <w:p>
      <w:pPr>
        <w:wordWrap w:val="0"/>
        <w:ind w:firstLine="640" w:firstLineChars="200"/>
        <w:jc w:val="left"/>
        <w:rPr>
          <w:rFonts w:ascii="仿宋" w:hAnsi="仿宋" w:eastAsia="仿宋" w:cs="方正仿宋简体"/>
          <w:bCs/>
          <w:sz w:val="32"/>
          <w:szCs w:val="32"/>
        </w:rPr>
      </w:pPr>
      <w:r>
        <w:rPr>
          <w:rFonts w:hint="eastAsia" w:ascii="仿宋" w:hAnsi="仿宋" w:eastAsia="仿宋" w:cs="方正黑体_GBK"/>
          <w:sz w:val="32"/>
          <w:szCs w:val="32"/>
        </w:rPr>
        <w:t>三、投标人资质与要求</w:t>
      </w:r>
    </w:p>
    <w:p>
      <w:pPr>
        <w:spacing w:line="600" w:lineRule="exact"/>
        <w:ind w:firstLine="640" w:firstLineChars="200"/>
        <w:jc w:val="left"/>
        <w:rPr>
          <w:rFonts w:ascii="仿宋" w:hAnsi="仿宋" w:eastAsia="仿宋" w:cs="方正仿宋简体"/>
          <w:sz w:val="32"/>
          <w:szCs w:val="32"/>
          <w:u w:val="single"/>
        </w:rPr>
      </w:pPr>
      <w:r>
        <w:rPr>
          <w:rFonts w:hint="eastAsia" w:ascii="仿宋" w:hAnsi="仿宋" w:eastAsia="仿宋" w:cs="方正仿宋简体"/>
          <w:kern w:val="1"/>
          <w:sz w:val="32"/>
          <w:szCs w:val="32"/>
        </w:rPr>
        <w:t>（一）</w:t>
      </w:r>
      <w:r>
        <w:rPr>
          <w:rFonts w:hint="eastAsia" w:ascii="仿宋" w:hAnsi="仿宋" w:eastAsia="仿宋" w:cs="方正仿宋简体"/>
          <w:sz w:val="32"/>
          <w:szCs w:val="32"/>
        </w:rPr>
        <w:t>投标时需提供</w:t>
      </w:r>
      <w:r>
        <w:rPr>
          <w:rFonts w:hint="eastAsia" w:ascii="仿宋" w:hAnsi="仿宋" w:eastAsia="仿宋" w:cs="方正仿宋简体"/>
          <w:bCs/>
          <w:kern w:val="0"/>
          <w:sz w:val="32"/>
          <w:szCs w:val="32"/>
        </w:rPr>
        <w:t>投标人资格证明证件：营业执照(包含废旧物资拆除或废旧金属回收)；（复印件需加盖公章）。</w:t>
      </w:r>
      <w:r>
        <w:rPr>
          <w:rFonts w:hint="eastAsia" w:ascii="仿宋" w:hAnsi="仿宋" w:eastAsia="仿宋" w:cs="方正仿宋简体"/>
          <w:sz w:val="32"/>
          <w:szCs w:val="32"/>
        </w:rPr>
        <w:t>确定中标后，在签订合同前，</w:t>
      </w:r>
      <w:r>
        <w:rPr>
          <w:rFonts w:hint="eastAsia" w:ascii="仿宋" w:hAnsi="仿宋" w:eastAsia="仿宋" w:cs="方正仿宋简体"/>
          <w:bCs/>
          <w:kern w:val="0"/>
          <w:sz w:val="32"/>
          <w:szCs w:val="32"/>
        </w:rPr>
        <w:t>中标方在接到中标通知后 3日内以现汇方式，交清30%的提货预付款,否则招标单位有权取消其中标资格，</w:t>
      </w:r>
      <w:r>
        <w:rPr>
          <w:rFonts w:hint="eastAsia" w:ascii="仿宋" w:hAnsi="仿宋" w:eastAsia="仿宋" w:cs="方正仿宋简体"/>
          <w:bCs/>
          <w:color w:val="000000" w:themeColor="text1"/>
          <w:kern w:val="0"/>
          <w:sz w:val="32"/>
          <w:szCs w:val="32"/>
        </w:rPr>
        <w:t>不予退其提货预付款</w:t>
      </w:r>
      <w:r>
        <w:rPr>
          <w:rFonts w:hint="eastAsia" w:ascii="仿宋" w:hAnsi="仿宋" w:eastAsia="仿宋" w:cs="方正仿宋简体"/>
          <w:color w:val="000000" w:themeColor="text1"/>
          <w:sz w:val="32"/>
          <w:szCs w:val="32"/>
        </w:rPr>
        <w:t>。</w:t>
      </w:r>
    </w:p>
    <w:p>
      <w:pPr>
        <w:pStyle w:val="2"/>
        <w:spacing w:after="0" w:line="600" w:lineRule="exact"/>
        <w:ind w:firstLine="640" w:firstLineChars="200"/>
        <w:rPr>
          <w:rFonts w:ascii="仿宋" w:hAnsi="仿宋" w:eastAsia="仿宋" w:cs="方正仿宋简体"/>
          <w:bCs/>
          <w:color w:val="000000"/>
          <w:sz w:val="32"/>
          <w:szCs w:val="32"/>
        </w:rPr>
      </w:pPr>
      <w:r>
        <w:rPr>
          <w:rFonts w:hint="eastAsia" w:ascii="仿宋" w:hAnsi="仿宋" w:eastAsia="仿宋" w:cs="方正仿宋简体"/>
          <w:kern w:val="1"/>
          <w:sz w:val="32"/>
          <w:szCs w:val="32"/>
        </w:rPr>
        <w:t>（二）</w:t>
      </w:r>
      <w:r>
        <w:rPr>
          <w:rFonts w:hint="eastAsia" w:ascii="仿宋" w:hAnsi="仿宋" w:eastAsia="仿宋" w:cs="方正仿宋简体"/>
          <w:bCs/>
          <w:color w:val="000000"/>
          <w:sz w:val="32"/>
          <w:szCs w:val="32"/>
        </w:rPr>
        <w:t>不接受被列入失信被执行人、重大违法案件当事人投标；</w:t>
      </w:r>
    </w:p>
    <w:p>
      <w:pPr>
        <w:adjustRightInd w:val="0"/>
        <w:snapToGrid w:val="0"/>
        <w:spacing w:line="600" w:lineRule="exact"/>
        <w:ind w:firstLine="640" w:firstLineChars="200"/>
        <w:rPr>
          <w:rFonts w:ascii="仿宋" w:hAnsi="仿宋" w:eastAsia="仿宋" w:cs="方正仿宋简体"/>
          <w:bCs/>
          <w:color w:val="0000FF"/>
          <w:sz w:val="32"/>
          <w:szCs w:val="32"/>
        </w:rPr>
      </w:pPr>
    </w:p>
    <w:p>
      <w:pPr>
        <w:pStyle w:val="3"/>
        <w:spacing w:line="600" w:lineRule="exact"/>
        <w:ind w:firstLine="640" w:firstLineChars="200"/>
        <w:rPr>
          <w:rFonts w:ascii="仿宋" w:hAnsi="仿宋" w:eastAsia="仿宋" w:cs="方正黑体_GBK"/>
          <w:kern w:val="2"/>
          <w:sz w:val="32"/>
          <w:szCs w:val="32"/>
        </w:rPr>
      </w:pPr>
      <w:r>
        <w:rPr>
          <w:rFonts w:hint="eastAsia" w:ascii="仿宋" w:hAnsi="仿宋" w:eastAsia="仿宋" w:cs="方正黑体_GBK"/>
          <w:kern w:val="2"/>
          <w:sz w:val="32"/>
          <w:szCs w:val="32"/>
        </w:rPr>
        <w:t>四、投标</w:t>
      </w:r>
    </w:p>
    <w:p>
      <w:pPr>
        <w:pStyle w:val="3"/>
        <w:spacing w:line="600" w:lineRule="exact"/>
        <w:ind w:firstLine="640" w:firstLineChars="200"/>
        <w:rPr>
          <w:rFonts w:ascii="仿宋" w:hAnsi="仿宋" w:eastAsia="仿宋" w:cs="方正仿宋简体"/>
          <w:bCs/>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报价方式：</w:t>
      </w:r>
      <w:r>
        <w:rPr>
          <w:rFonts w:hint="eastAsia" w:ascii="仿宋" w:hAnsi="仿宋" w:eastAsia="仿宋" w:cs="方正仿宋简体"/>
          <w:bCs/>
          <w:sz w:val="32"/>
          <w:szCs w:val="32"/>
        </w:rPr>
        <w:t>报价为含增值税价。如国家税率调整，按合同含税价格/（1+合同约定税率）*（1+国家规定的新税率）调整合同价格开具发票；</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（二）</w:t>
      </w:r>
      <w:r>
        <w:rPr>
          <w:rFonts w:hint="eastAsia" w:ascii="仿宋" w:hAnsi="仿宋" w:eastAsia="仿宋" w:cs="方正仿宋简体"/>
          <w:bCs/>
          <w:kern w:val="1"/>
          <w:sz w:val="32"/>
          <w:szCs w:val="32"/>
        </w:rPr>
        <w:t>付款方式：</w:t>
      </w:r>
      <w:r>
        <w:rPr>
          <w:rFonts w:hint="eastAsia" w:ascii="仿宋" w:hAnsi="仿宋" w:eastAsia="仿宋" w:cs="方正仿宋简体"/>
          <w:bCs/>
          <w:kern w:val="0"/>
          <w:sz w:val="32"/>
          <w:szCs w:val="32"/>
        </w:rPr>
        <w:t>中标方在接到中标通知后 3日内以现汇方式，交清30%的提货预付款</w:t>
      </w:r>
      <w:r>
        <w:rPr>
          <w:rFonts w:hint="eastAsia" w:ascii="仿宋" w:hAnsi="仿宋" w:eastAsia="仿宋" w:cs="仿宋_GB2312"/>
          <w:kern w:val="1"/>
          <w:sz w:val="32"/>
          <w:szCs w:val="32"/>
        </w:rPr>
        <w:t>；</w:t>
      </w:r>
      <w:r>
        <w:rPr>
          <w:rFonts w:hint="eastAsia" w:ascii="仿宋" w:hAnsi="仿宋" w:eastAsia="仿宋" w:cs="方正仿宋简体"/>
          <w:bCs/>
          <w:kern w:val="0"/>
          <w:sz w:val="32"/>
          <w:szCs w:val="32"/>
        </w:rPr>
        <w:t>中标方在完成所有报废物资处置后2个工作日内，以招标单位实际磅单数为依据，现汇结算全部货款，招标方开具13%增值税专用发票。</w:t>
      </w:r>
      <w:r>
        <w:rPr>
          <w:rFonts w:hint="eastAsia" w:ascii="仿宋" w:hAnsi="仿宋" w:eastAsia="仿宋" w:cs="方正仿宋简体"/>
          <w:bCs/>
          <w:kern w:val="1"/>
          <w:sz w:val="32"/>
          <w:szCs w:val="32"/>
        </w:rPr>
        <w:t>（</w:t>
      </w:r>
      <w:r>
        <w:rPr>
          <w:rFonts w:hint="eastAsia" w:ascii="仿宋" w:hAnsi="仿宋" w:eastAsia="仿宋"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仿宋" w:hAnsi="仿宋" w:eastAsia="仿宋" w:cs="方正仿宋简体"/>
          <w:bCs/>
          <w:kern w:val="1"/>
          <w:sz w:val="32"/>
          <w:szCs w:val="32"/>
        </w:rPr>
        <w:t>）</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本项目投标通过线下方式进行：</w:t>
      </w:r>
    </w:p>
    <w:p>
      <w:pPr>
        <w:wordWrap w:val="0"/>
        <w:spacing w:line="600" w:lineRule="exact"/>
        <w:ind w:firstLine="640" w:firstLineChars="200"/>
        <w:jc w:val="left"/>
        <w:rPr>
          <w:rFonts w:ascii="仿宋" w:hAnsi="仿宋" w:eastAsia="仿宋" w:cs="方正仿宋简体"/>
          <w:kern w:val="1"/>
          <w:sz w:val="32"/>
          <w:szCs w:val="32"/>
        </w:rPr>
      </w:pPr>
      <w:r>
        <w:rPr>
          <w:rFonts w:hint="eastAsia" w:ascii="仿宋" w:hAnsi="仿宋" w:eastAsia="仿宋" w:cs="方正仿宋简体"/>
          <w:bCs/>
          <w:kern w:val="1"/>
          <w:sz w:val="32"/>
          <w:szCs w:val="32"/>
        </w:rPr>
        <w:t>1.采用线下投标应</w:t>
      </w:r>
      <w:r>
        <w:rPr>
          <w:rFonts w:hint="eastAsia" w:ascii="仿宋" w:hAnsi="仿宋" w:eastAsia="仿宋"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 w:hAnsi="仿宋" w:eastAsia="仿宋" w:cs="方正仿宋简体"/>
          <w:kern w:val="1"/>
          <w:sz w:val="32"/>
          <w:szCs w:val="32"/>
        </w:rPr>
        <w:t>并要求在投标截止日之前送达，逾期将作为作废标处理。</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楷体_GBK"/>
          <w:kern w:val="1"/>
          <w:sz w:val="32"/>
          <w:szCs w:val="32"/>
        </w:rPr>
        <w:t>（四）</w:t>
      </w:r>
      <w:r>
        <w:rPr>
          <w:rFonts w:hint="eastAsia" w:ascii="仿宋" w:hAnsi="仿宋" w:eastAsia="仿宋" w:cs="方正仿宋简体"/>
          <w:kern w:val="1"/>
          <w:sz w:val="32"/>
          <w:szCs w:val="32"/>
        </w:rPr>
        <w:t>具体报价格式见报价函，</w:t>
      </w:r>
      <w:r>
        <w:rPr>
          <w:rFonts w:hint="eastAsia" w:ascii="仿宋" w:hAnsi="仿宋" w:eastAsia="仿宋" w:cs="方正仿宋简体"/>
          <w:color w:val="FF0000"/>
          <w:kern w:val="1"/>
          <w:sz w:val="32"/>
          <w:szCs w:val="32"/>
        </w:rPr>
        <w:t>报价文件需提供2份</w:t>
      </w:r>
      <w:r>
        <w:rPr>
          <w:rFonts w:hint="eastAsia" w:ascii="仿宋" w:hAnsi="仿宋" w:eastAsia="仿宋" w:cs="方正仿宋简体"/>
          <w:kern w:val="1"/>
          <w:sz w:val="32"/>
          <w:szCs w:val="32"/>
        </w:rPr>
        <w:t>；</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（五）</w:t>
      </w:r>
      <w:r>
        <w:rPr>
          <w:rFonts w:hint="eastAsia" w:ascii="仿宋" w:hAnsi="仿宋" w:eastAsia="仿宋"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仿宋" w:hAnsi="仿宋" w:eastAsia="仿宋" w:cs="方正仿宋简体"/>
          <w:bCs/>
          <w:kern w:val="1"/>
          <w:sz w:val="30"/>
          <w:szCs w:val="30"/>
        </w:rPr>
      </w:pPr>
      <w:r>
        <w:rPr>
          <w:rFonts w:hint="eastAsia" w:ascii="仿宋" w:hAnsi="仿宋" w:eastAsia="仿宋" w:cs="方正仿宋简体"/>
          <w:bCs/>
          <w:kern w:val="1"/>
          <w:sz w:val="32"/>
          <w:szCs w:val="32"/>
        </w:rPr>
        <w:t>公司：</w:t>
      </w:r>
      <w:r>
        <w:rPr>
          <w:rFonts w:hint="eastAsia" w:ascii="仿宋" w:hAnsi="仿宋" w:eastAsia="仿宋"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邮编：212006</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收件人：邵蕾</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联系电话：15050893302</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（六）</w:t>
      </w:r>
      <w:r>
        <w:rPr>
          <w:rFonts w:hint="eastAsia" w:ascii="仿宋" w:hAnsi="仿宋" w:eastAsia="仿宋"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联系单位：镇江海纳川物流产业发展有限责任公司</w:t>
      </w:r>
    </w:p>
    <w:p>
      <w:pPr>
        <w:adjustRightInd w:val="0"/>
        <w:snapToGrid w:val="0"/>
        <w:spacing w:line="600" w:lineRule="exact"/>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招标业务联系人：邵蕾电话：15050893302</w:t>
      </w:r>
    </w:p>
    <w:p>
      <w:pPr>
        <w:adjustRightInd w:val="0"/>
        <w:snapToGrid w:val="0"/>
        <w:spacing w:line="600" w:lineRule="exact"/>
        <w:ind w:firstLine="640" w:firstLineChars="200"/>
        <w:jc w:val="left"/>
        <w:rPr>
          <w:rFonts w:ascii="仿宋" w:hAnsi="仿宋" w:eastAsia="仿宋" w:cs="方正仿宋简体"/>
          <w:bCs/>
          <w:color w:val="000000"/>
          <w:kern w:val="1"/>
          <w:sz w:val="32"/>
          <w:szCs w:val="32"/>
        </w:rPr>
      </w:pPr>
      <w:r>
        <w:rPr>
          <w:rFonts w:hint="eastAsia" w:ascii="仿宋" w:hAnsi="仿宋" w:eastAsia="仿宋" w:cs="方正仿宋简体"/>
          <w:bCs/>
          <w:color w:val="000000"/>
          <w:kern w:val="1"/>
          <w:sz w:val="32"/>
          <w:szCs w:val="32"/>
        </w:rPr>
        <w:t>技术部门联系人：王海燕  电话：15951273729</w:t>
      </w:r>
    </w:p>
    <w:p>
      <w:pPr>
        <w:pStyle w:val="3"/>
        <w:numPr>
          <w:ilvl w:val="0"/>
          <w:numId w:val="1"/>
        </w:numPr>
        <w:spacing w:line="600" w:lineRule="exact"/>
        <w:ind w:firstLine="640" w:firstLineChars="200"/>
        <w:rPr>
          <w:rFonts w:ascii="仿宋" w:hAnsi="仿宋" w:eastAsia="仿宋" w:cs="方正黑体_GBK"/>
          <w:kern w:val="2"/>
          <w:sz w:val="32"/>
          <w:szCs w:val="32"/>
        </w:rPr>
      </w:pPr>
      <w:r>
        <w:rPr>
          <w:rFonts w:hint="eastAsia" w:ascii="仿宋" w:hAnsi="仿宋" w:eastAsia="仿宋" w:cs="方正黑体_GBK"/>
          <w:kern w:val="2"/>
          <w:sz w:val="32"/>
          <w:szCs w:val="32"/>
        </w:rPr>
        <w:t>开标、评标及废标：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开标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1.请各投标人保持通讯畅通，便于</w:t>
      </w:r>
      <w:r>
        <w:rPr>
          <w:rFonts w:hint="eastAsia" w:ascii="仿宋" w:hAnsi="仿宋" w:eastAsia="仿宋" w:cs="方正仿宋简体"/>
          <w:kern w:val="1"/>
          <w:sz w:val="32"/>
          <w:szCs w:val="32"/>
        </w:rPr>
        <w:t>评标小组在开标现场电话联系</w:t>
      </w:r>
      <w:r>
        <w:rPr>
          <w:rFonts w:hint="eastAsia" w:ascii="仿宋" w:hAnsi="仿宋" w:eastAsia="仿宋" w:cs="方正仿宋简体"/>
          <w:bCs/>
          <w:kern w:val="1"/>
          <w:sz w:val="32"/>
          <w:szCs w:val="32"/>
        </w:rPr>
        <w:t>。</w:t>
      </w:r>
      <w:r>
        <w:rPr>
          <w:rFonts w:hint="eastAsia" w:ascii="仿宋" w:hAnsi="仿宋" w:eastAsia="仿宋"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仿宋简体"/>
          <w:bCs/>
          <w:kern w:val="1"/>
          <w:sz w:val="32"/>
          <w:szCs w:val="32"/>
        </w:rPr>
        <w:t xml:space="preserve">2.评标小组不得泄露各投标人的报价。   </w:t>
      </w:r>
    </w:p>
    <w:p>
      <w:pPr>
        <w:spacing w:line="360" w:lineRule="auto"/>
        <w:ind w:firstLine="640" w:firstLineChars="200"/>
        <w:jc w:val="left"/>
        <w:rPr>
          <w:rFonts w:ascii="仿宋" w:hAnsi="仿宋" w:eastAsia="仿宋" w:cs="方正仿宋简体"/>
          <w:sz w:val="32"/>
          <w:szCs w:val="32"/>
          <w:highlight w:val="yellow"/>
        </w:rPr>
      </w:pPr>
      <w:r>
        <w:rPr>
          <w:rFonts w:hint="eastAsia" w:ascii="仿宋" w:hAnsi="仿宋" w:eastAsia="仿宋" w:cs="方正楷体_GBK"/>
          <w:bCs/>
          <w:kern w:val="1"/>
          <w:sz w:val="32"/>
          <w:szCs w:val="32"/>
        </w:rPr>
        <w:t>（二）</w:t>
      </w:r>
      <w:r>
        <w:rPr>
          <w:rFonts w:hint="eastAsia" w:ascii="仿宋" w:hAnsi="仿宋" w:eastAsia="仿宋" w:cs="方正仿宋简体"/>
          <w:bCs/>
          <w:kern w:val="1"/>
          <w:sz w:val="32"/>
          <w:szCs w:val="32"/>
        </w:rPr>
        <w:t>评标</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1.综合</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2.通用</w:t>
      </w:r>
      <w:r>
        <w:rPr>
          <w:rFonts w:hint="eastAsia" w:ascii="仿宋" w:hAnsi="仿宋" w:eastAsia="仿宋" w:cs="仿宋_GB2312"/>
          <w:color w:val="000000"/>
          <w:sz w:val="32"/>
          <w:szCs w:val="32"/>
        </w:rPr>
        <w:t>（本次采用该种评标方式）</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（1）在能够满足招标人技术要求及供货期要求的投标人中选择总投标价最高的一家投标人作为中标候选人。</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（2）同等价格下，质量指标、售后服务更好的为中标候选人。</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废标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2.凡投标人不具备</w:t>
      </w:r>
      <w:r>
        <w:rPr>
          <w:rFonts w:hint="eastAsia" w:ascii="仿宋" w:hAnsi="仿宋" w:eastAsia="仿宋" w:cs="方正仿宋简体"/>
          <w:bCs/>
          <w:color w:val="000000"/>
          <w:kern w:val="1"/>
          <w:sz w:val="32"/>
          <w:szCs w:val="32"/>
        </w:rPr>
        <w:t>招标人明确要求资质的</w:t>
      </w:r>
      <w:r>
        <w:rPr>
          <w:rFonts w:hint="eastAsia" w:ascii="仿宋" w:hAnsi="仿宋" w:eastAsia="仿宋"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仿宋" w:hAnsi="仿宋" w:eastAsia="仿宋" w:cs="方正仿宋简体"/>
          <w:bCs/>
          <w:color w:val="FF0000"/>
          <w:kern w:val="1"/>
          <w:sz w:val="32"/>
          <w:szCs w:val="32"/>
        </w:rPr>
      </w:pPr>
      <w:r>
        <w:rPr>
          <w:rFonts w:hint="eastAsia" w:ascii="仿宋" w:hAnsi="仿宋" w:eastAsia="仿宋" w:cs="方正黑体_GBK"/>
          <w:b/>
          <w:kern w:val="1"/>
          <w:sz w:val="32"/>
          <w:szCs w:val="32"/>
        </w:rPr>
        <w:t>六、其他注意事项：</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违约责任：</w:t>
      </w:r>
    </w:p>
    <w:p>
      <w:pPr>
        <w:adjustRightInd w:val="0"/>
        <w:snapToGrid w:val="0"/>
        <w:spacing w:line="600" w:lineRule="exact"/>
        <w:ind w:firstLine="640" w:firstLineChars="200"/>
        <w:jc w:val="left"/>
        <w:rPr>
          <w:rFonts w:ascii="仿宋" w:hAnsi="仿宋" w:eastAsia="仿宋" w:cs="方正仿宋简体"/>
          <w:bCs/>
          <w:color w:val="0000FF"/>
          <w:kern w:val="1"/>
          <w:sz w:val="32"/>
          <w:szCs w:val="32"/>
        </w:rPr>
      </w:pPr>
      <w:r>
        <w:rPr>
          <w:rFonts w:hint="eastAsia" w:ascii="仿宋" w:hAnsi="仿宋" w:eastAsia="仿宋" w:cs="方正仿宋简体"/>
          <w:bCs/>
          <w:kern w:val="1"/>
          <w:sz w:val="32"/>
          <w:szCs w:val="32"/>
        </w:rPr>
        <w:t>1.如中标方没有按照规定的时间进行废旧物资处置，中标方将支付违约金，</w:t>
      </w:r>
      <w:r>
        <w:rPr>
          <w:rFonts w:hint="eastAsia" w:ascii="仿宋" w:hAnsi="仿宋" w:eastAsia="仿宋" w:cs="方正仿宋简体"/>
          <w:bCs/>
          <w:color w:val="000000" w:themeColor="text1"/>
          <w:kern w:val="1"/>
          <w:sz w:val="32"/>
          <w:szCs w:val="32"/>
        </w:rPr>
        <w:t>违约金应从预付款中扣除</w:t>
      </w:r>
      <w:r>
        <w:rPr>
          <w:rFonts w:hint="eastAsia" w:ascii="仿宋" w:hAnsi="仿宋" w:eastAsia="仿宋" w:cs="方正仿宋简体"/>
          <w:bCs/>
          <w:color w:val="0000FF"/>
          <w:kern w:val="1"/>
          <w:sz w:val="32"/>
          <w:szCs w:val="32"/>
        </w:rPr>
        <w:t>，</w:t>
      </w:r>
      <w:r>
        <w:rPr>
          <w:rFonts w:hint="eastAsia" w:ascii="仿宋" w:hAnsi="仿宋" w:eastAsia="仿宋" w:cs="方正仿宋简体"/>
          <w:bCs/>
          <w:kern w:val="1"/>
          <w:sz w:val="32"/>
          <w:szCs w:val="32"/>
        </w:rPr>
        <w:t>未提供服务的违约金逾期每日应按合同总金额的1%计收。但未提供服务超过20日，招标方有权解除合同，</w:t>
      </w:r>
      <w:r>
        <w:rPr>
          <w:rFonts w:hint="eastAsia" w:ascii="仿宋" w:hAnsi="仿宋" w:eastAsia="仿宋" w:cs="方正仿宋简体"/>
          <w:bCs/>
          <w:color w:val="000000" w:themeColor="text1"/>
          <w:kern w:val="1"/>
          <w:sz w:val="32"/>
          <w:szCs w:val="32"/>
        </w:rPr>
        <w:t>并按合同总额20%追究中标方违约责任。</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（二）</w:t>
      </w:r>
      <w:r>
        <w:rPr>
          <w:rFonts w:hint="eastAsia" w:ascii="仿宋" w:hAnsi="仿宋" w:eastAsia="仿宋" w:cs="方正仿宋简体"/>
          <w:bCs/>
          <w:kern w:val="1"/>
          <w:sz w:val="32"/>
          <w:szCs w:val="32"/>
        </w:rPr>
        <w:t>中标人应严格按照标书约定与招标方签定废旧物资处置合同，并按合同约定做好服务工作。对中标人所有违背标书及合同约定的行为，招标人均可持续保留与中标方中止合作的一切权利。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如因投标人不能正常履约，如严重影响招标人生产经营活动的，招标人将依法追究投标方法律责任。</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（四）</w:t>
      </w:r>
      <w:r>
        <w:rPr>
          <w:rFonts w:hint="eastAsia" w:ascii="仿宋" w:hAnsi="仿宋" w:eastAsia="仿宋"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（五）</w:t>
      </w:r>
      <w:r>
        <w:rPr>
          <w:rFonts w:hint="eastAsia" w:ascii="仿宋" w:hAnsi="仿宋" w:eastAsia="仿宋"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（六）</w:t>
      </w:r>
      <w:r>
        <w:rPr>
          <w:rFonts w:hint="eastAsia" w:ascii="仿宋" w:hAnsi="仿宋" w:eastAsia="仿宋"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楷体_GBK"/>
          <w:bCs/>
          <w:kern w:val="1"/>
          <w:sz w:val="32"/>
          <w:szCs w:val="32"/>
        </w:rPr>
        <w:t>（七）</w:t>
      </w:r>
      <w:r>
        <w:rPr>
          <w:rFonts w:hint="eastAsia" w:ascii="仿宋" w:hAnsi="仿宋" w:eastAsia="仿宋" w:cs="方正仿宋简体"/>
          <w:bCs/>
          <w:kern w:val="1"/>
          <w:sz w:val="32"/>
          <w:szCs w:val="32"/>
        </w:rPr>
        <w:t>外协作业人员需先进行安全教育培训。</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（八）</w:t>
      </w:r>
      <w:r>
        <w:rPr>
          <w:rFonts w:hint="eastAsia" w:ascii="仿宋" w:hAnsi="仿宋" w:eastAsia="仿宋"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仿宋" w:hAnsi="仿宋" w:eastAsia="仿宋" w:cs="方正仿宋简体"/>
          <w:bCs/>
          <w:kern w:val="1"/>
          <w:sz w:val="32"/>
          <w:szCs w:val="32"/>
        </w:rPr>
      </w:pPr>
      <w:r>
        <w:rPr>
          <w:rFonts w:hint="eastAsia" w:ascii="仿宋" w:hAnsi="仿宋" w:eastAsia="仿宋" w:cs="方正仿宋简体"/>
          <w:bCs/>
          <w:kern w:val="1"/>
          <w:sz w:val="32"/>
          <w:szCs w:val="32"/>
        </w:rPr>
        <w:t>　　</w:t>
      </w:r>
    </w:p>
    <w:p>
      <w:pPr>
        <w:pStyle w:val="3"/>
      </w:pPr>
    </w:p>
    <w:p>
      <w:pPr>
        <w:pStyle w:val="3"/>
      </w:pPr>
    </w:p>
    <w:p>
      <w:pPr>
        <w:pStyle w:val="3"/>
      </w:pPr>
    </w:p>
    <w:p>
      <w:pPr>
        <w:pStyle w:val="3"/>
      </w:pPr>
    </w:p>
    <w:p>
      <w:pPr>
        <w:pStyle w:val="3"/>
      </w:pPr>
    </w:p>
    <w:p>
      <w:pPr>
        <w:pStyle w:val="4"/>
        <w:rPr>
          <w:rFonts w:ascii="仿宋" w:hAnsi="仿宋" w:eastAsia="仿宋" w:cs="方正小标宋简体"/>
          <w:b/>
          <w:sz w:val="36"/>
          <w:szCs w:val="36"/>
        </w:rPr>
      </w:pPr>
      <w:r>
        <w:rPr>
          <w:rFonts w:hint="eastAsia" w:ascii="仿宋" w:hAnsi="仿宋" w:eastAsia="仿宋" w:cs="方正小标宋简体"/>
          <w:b/>
          <w:sz w:val="36"/>
          <w:szCs w:val="36"/>
        </w:rPr>
        <w:t>报价函</w:t>
      </w:r>
    </w:p>
    <w:p>
      <w:pPr>
        <w:tabs>
          <w:tab w:val="left" w:pos="180"/>
        </w:tabs>
        <w:spacing w:line="600" w:lineRule="exact"/>
        <w:rPr>
          <w:rFonts w:ascii="仿宋" w:hAnsi="仿宋" w:eastAsia="仿宋" w:cs="方正仿宋简体"/>
          <w:kern w:val="1"/>
          <w:sz w:val="32"/>
          <w:szCs w:val="32"/>
        </w:rPr>
      </w:pPr>
      <w:r>
        <w:rPr>
          <w:rFonts w:hint="eastAsia" w:ascii="仿宋" w:hAnsi="仿宋" w:eastAsia="仿宋" w:cs="方正仿宋简体"/>
          <w:kern w:val="1"/>
          <w:sz w:val="32"/>
          <w:szCs w:val="32"/>
        </w:rPr>
        <w:t>镇江海纳川物流产业发展有限责任公司：</w:t>
      </w:r>
    </w:p>
    <w:p>
      <w:pPr>
        <w:spacing w:line="600" w:lineRule="exact"/>
        <w:ind w:firstLine="640" w:firstLineChars="200"/>
        <w:jc w:val="left"/>
        <w:rPr>
          <w:rFonts w:ascii="仿宋" w:hAnsi="仿宋" w:eastAsia="仿宋" w:cs="方正仿宋简体"/>
          <w:kern w:val="1"/>
          <w:sz w:val="32"/>
          <w:szCs w:val="32"/>
        </w:rPr>
      </w:pPr>
      <w:r>
        <w:rPr>
          <w:rFonts w:hint="eastAsia" w:ascii="方正仿宋简体" w:hAnsi="方正仿宋简体" w:eastAsia="方正仿宋简体" w:cs="方正仿宋简体"/>
          <w:kern w:val="1"/>
          <w:sz w:val="32"/>
          <w:szCs w:val="32"/>
        </w:rPr>
        <w:t>投标单位全称：；授权全权代表姓名、职务、职称：为全权代表，参加贵方组织的招标有关活动，并对该项目进行投标</w:t>
      </w:r>
      <w:r>
        <w:rPr>
          <w:rFonts w:hint="eastAsia" w:ascii="仿宋" w:hAnsi="仿宋" w:eastAsia="仿宋" w:cs="方正仿宋简体"/>
          <w:kern w:val="1"/>
          <w:sz w:val="32"/>
          <w:szCs w:val="32"/>
        </w:rPr>
        <w:t>。</w:t>
      </w:r>
    </w:p>
    <w:p>
      <w:pPr>
        <w:spacing w:line="600" w:lineRule="exact"/>
        <w:ind w:firstLine="640" w:firstLineChars="200"/>
        <w:jc w:val="left"/>
        <w:rPr>
          <w:rFonts w:ascii="仿宋" w:hAnsi="仿宋" w:eastAsia="仿宋" w:cs="方正仿宋简体"/>
          <w:color w:val="FF0000"/>
          <w:kern w:val="1"/>
          <w:sz w:val="32"/>
          <w:szCs w:val="32"/>
        </w:rPr>
      </w:pPr>
      <w:r>
        <w:rPr>
          <w:rFonts w:hint="eastAsia" w:ascii="仿宋" w:hAnsi="仿宋" w:eastAsia="仿宋" w:cs="方正仿宋简体"/>
          <w:kern w:val="1"/>
          <w:sz w:val="32"/>
          <w:szCs w:val="32"/>
        </w:rPr>
        <w:t>一.投标项目的总投标价（含税）</w:t>
      </w:r>
      <w:r>
        <w:rPr>
          <w:rFonts w:hint="eastAsia" w:ascii="方正仿宋简体" w:hAnsi="方正仿宋简体" w:eastAsia="方正仿宋简体" w:cs="方正仿宋简体"/>
          <w:kern w:val="1"/>
          <w:sz w:val="32"/>
          <w:szCs w:val="32"/>
        </w:rPr>
        <w:t>为(大写)：元人民币；税率%</w:t>
      </w:r>
      <w:r>
        <w:rPr>
          <w:rFonts w:hint="eastAsia" w:ascii="仿宋" w:hAnsi="仿宋" w:eastAsia="仿宋" w:cs="方正仿宋简体"/>
          <w:kern w:val="1"/>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仿宋简体"/>
          <w:sz w:val="32"/>
          <w:szCs w:val="32"/>
        </w:rPr>
        <w:t>二.报价格式</w:t>
      </w:r>
    </w:p>
    <w:tbl>
      <w:tblPr>
        <w:tblStyle w:val="10"/>
        <w:tblpPr w:leftFromText="180" w:rightFromText="180" w:vertAnchor="text" w:horzAnchor="page" w:tblpX="1454" w:tblpY="48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133"/>
        <w:gridCol w:w="1700"/>
        <w:gridCol w:w="1561"/>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75"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序号</w:t>
            </w:r>
          </w:p>
        </w:tc>
        <w:tc>
          <w:tcPr>
            <w:tcW w:w="2552"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名称</w:t>
            </w:r>
          </w:p>
        </w:tc>
        <w:tc>
          <w:tcPr>
            <w:tcW w:w="1133"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单位</w:t>
            </w:r>
          </w:p>
        </w:tc>
        <w:tc>
          <w:tcPr>
            <w:tcW w:w="1700"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数量</w:t>
            </w:r>
            <w:r>
              <w:rPr>
                <w:rFonts w:hint="eastAsia" w:ascii="仿宋" w:hAnsi="仿宋" w:eastAsia="仿宋" w:cs="方正仿宋简体"/>
                <w:sz w:val="24"/>
                <w:szCs w:val="24"/>
              </w:rPr>
              <w:t>（预估）</w:t>
            </w:r>
          </w:p>
        </w:tc>
        <w:tc>
          <w:tcPr>
            <w:tcW w:w="1561"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单价</w:t>
            </w:r>
          </w:p>
          <w:p>
            <w:pPr>
              <w:spacing w:line="400" w:lineRule="exact"/>
              <w:jc w:val="center"/>
              <w:rPr>
                <w:rFonts w:ascii="仿宋" w:hAnsi="仿宋" w:eastAsia="仿宋" w:cs="方正仿宋简体"/>
                <w:sz w:val="32"/>
                <w:szCs w:val="32"/>
              </w:rPr>
            </w:pPr>
            <w:r>
              <w:rPr>
                <w:rFonts w:hint="eastAsia" w:ascii="仿宋" w:hAnsi="仿宋" w:eastAsia="仿宋" w:cs="方正仿宋简体"/>
                <w:sz w:val="24"/>
                <w:szCs w:val="24"/>
              </w:rPr>
              <w:t>（元）</w:t>
            </w:r>
          </w:p>
        </w:tc>
        <w:tc>
          <w:tcPr>
            <w:tcW w:w="2008"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预估总价</w:t>
            </w:r>
          </w:p>
          <w:p>
            <w:pPr>
              <w:spacing w:line="400" w:lineRule="exact"/>
              <w:jc w:val="center"/>
              <w:rPr>
                <w:rFonts w:ascii="仿宋" w:hAnsi="仿宋" w:eastAsia="仿宋" w:cs="方正仿宋简体"/>
                <w:sz w:val="32"/>
                <w:szCs w:val="32"/>
              </w:rPr>
            </w:pPr>
            <w:r>
              <w:rPr>
                <w:rFonts w:hint="eastAsia" w:ascii="仿宋" w:hAnsi="仿宋" w:eastAsia="仿宋" w:cs="方正仿宋简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1</w:t>
            </w:r>
          </w:p>
        </w:tc>
        <w:tc>
          <w:tcPr>
            <w:tcW w:w="2552"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color w:val="000000" w:themeColor="text1"/>
                <w:sz w:val="32"/>
                <w:szCs w:val="32"/>
              </w:rPr>
              <w:t>废不锈钢（</w:t>
            </w:r>
            <w:r>
              <w:rPr>
                <w:rFonts w:hint="eastAsia" w:ascii="仿宋" w:hAnsi="仿宋" w:eastAsia="仿宋" w:cs="方正仿宋简体"/>
                <w:sz w:val="32"/>
                <w:szCs w:val="32"/>
              </w:rPr>
              <w:t>304）</w:t>
            </w:r>
          </w:p>
        </w:tc>
        <w:tc>
          <w:tcPr>
            <w:tcW w:w="1133"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吨</w:t>
            </w:r>
          </w:p>
        </w:tc>
        <w:tc>
          <w:tcPr>
            <w:tcW w:w="1700"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0.2</w:t>
            </w:r>
          </w:p>
        </w:tc>
        <w:tc>
          <w:tcPr>
            <w:tcW w:w="1561" w:type="dxa"/>
            <w:vAlign w:val="center"/>
          </w:tcPr>
          <w:p>
            <w:pPr>
              <w:spacing w:line="400" w:lineRule="exact"/>
              <w:jc w:val="center"/>
              <w:rPr>
                <w:rFonts w:ascii="仿宋" w:hAnsi="仿宋" w:eastAsia="仿宋" w:cs="方正仿宋简体"/>
                <w:sz w:val="32"/>
                <w:szCs w:val="32"/>
              </w:rPr>
            </w:pPr>
          </w:p>
        </w:tc>
        <w:tc>
          <w:tcPr>
            <w:tcW w:w="2008" w:type="dxa"/>
            <w:vAlign w:val="center"/>
          </w:tcPr>
          <w:p>
            <w:pPr>
              <w:spacing w:line="400" w:lineRule="exact"/>
              <w:jc w:val="center"/>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2</w:t>
            </w:r>
          </w:p>
        </w:tc>
        <w:tc>
          <w:tcPr>
            <w:tcW w:w="2552" w:type="dxa"/>
            <w:vAlign w:val="center"/>
          </w:tcPr>
          <w:p>
            <w:pPr>
              <w:spacing w:line="400" w:lineRule="exact"/>
              <w:jc w:val="center"/>
              <w:rPr>
                <w:rFonts w:ascii="仿宋" w:hAnsi="仿宋" w:eastAsia="仿宋" w:cs="仿宋_GB2312"/>
                <w:kern w:val="1"/>
                <w:sz w:val="32"/>
                <w:szCs w:val="32"/>
              </w:rPr>
            </w:pPr>
            <w:r>
              <w:rPr>
                <w:rFonts w:ascii="仿宋" w:hAnsi="仿宋" w:eastAsia="仿宋" w:cs="仿宋_GB2312"/>
                <w:kern w:val="1"/>
                <w:sz w:val="32"/>
                <w:szCs w:val="32"/>
              </w:rPr>
              <w:t>废</w:t>
            </w:r>
            <w:r>
              <w:rPr>
                <w:rFonts w:hint="eastAsia" w:ascii="仿宋" w:hAnsi="仿宋" w:eastAsia="仿宋" w:cs="仿宋_GB2312"/>
                <w:kern w:val="1"/>
                <w:sz w:val="32"/>
                <w:szCs w:val="32"/>
              </w:rPr>
              <w:t xml:space="preserve">  </w:t>
            </w:r>
            <w:r>
              <w:rPr>
                <w:rFonts w:ascii="仿宋" w:hAnsi="仿宋" w:eastAsia="仿宋" w:cs="仿宋_GB2312"/>
                <w:kern w:val="1"/>
                <w:sz w:val="32"/>
                <w:szCs w:val="32"/>
              </w:rPr>
              <w:t>钢</w:t>
            </w:r>
          </w:p>
        </w:tc>
        <w:tc>
          <w:tcPr>
            <w:tcW w:w="1133" w:type="dxa"/>
            <w:vAlign w:val="center"/>
          </w:tcPr>
          <w:p>
            <w:pPr>
              <w:spacing w:line="400" w:lineRule="exact"/>
              <w:jc w:val="center"/>
              <w:rPr>
                <w:rFonts w:ascii="仿宋" w:hAnsi="仿宋" w:eastAsia="仿宋" w:cs="仿宋_GB2312"/>
                <w:kern w:val="1"/>
                <w:sz w:val="32"/>
                <w:szCs w:val="32"/>
              </w:rPr>
            </w:pPr>
            <w:r>
              <w:rPr>
                <w:rFonts w:hint="eastAsia" w:ascii="仿宋" w:hAnsi="仿宋" w:eastAsia="仿宋" w:cs="仿宋_GB2312"/>
                <w:kern w:val="1"/>
                <w:sz w:val="32"/>
                <w:szCs w:val="32"/>
              </w:rPr>
              <w:t>吨</w:t>
            </w:r>
          </w:p>
        </w:tc>
        <w:tc>
          <w:tcPr>
            <w:tcW w:w="1700" w:type="dxa"/>
            <w:vAlign w:val="center"/>
          </w:tcPr>
          <w:p>
            <w:pPr>
              <w:spacing w:line="400" w:lineRule="exact"/>
              <w:jc w:val="center"/>
              <w:rPr>
                <w:rFonts w:ascii="仿宋" w:hAnsi="仿宋" w:eastAsia="仿宋" w:cs="仿宋_GB2312"/>
                <w:kern w:val="1"/>
                <w:sz w:val="32"/>
                <w:szCs w:val="32"/>
              </w:rPr>
            </w:pPr>
            <w:r>
              <w:rPr>
                <w:rFonts w:hint="eastAsia" w:ascii="仿宋" w:hAnsi="仿宋" w:eastAsia="仿宋" w:cs="仿宋_GB2312"/>
                <w:kern w:val="1"/>
                <w:sz w:val="32"/>
                <w:szCs w:val="32"/>
              </w:rPr>
              <w:t>115</w:t>
            </w:r>
          </w:p>
        </w:tc>
        <w:tc>
          <w:tcPr>
            <w:tcW w:w="1561" w:type="dxa"/>
            <w:vAlign w:val="center"/>
          </w:tcPr>
          <w:p>
            <w:pPr>
              <w:spacing w:line="400" w:lineRule="exact"/>
              <w:jc w:val="center"/>
              <w:rPr>
                <w:rFonts w:ascii="仿宋" w:hAnsi="仿宋" w:eastAsia="仿宋" w:cs="方正仿宋简体"/>
                <w:sz w:val="32"/>
                <w:szCs w:val="32"/>
              </w:rPr>
            </w:pPr>
          </w:p>
        </w:tc>
        <w:tc>
          <w:tcPr>
            <w:tcW w:w="2008" w:type="dxa"/>
            <w:vAlign w:val="center"/>
          </w:tcPr>
          <w:p>
            <w:pPr>
              <w:spacing w:line="400" w:lineRule="exact"/>
              <w:jc w:val="center"/>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3</w:t>
            </w:r>
          </w:p>
        </w:tc>
        <w:tc>
          <w:tcPr>
            <w:tcW w:w="2552" w:type="dxa"/>
            <w:vAlign w:val="center"/>
          </w:tcPr>
          <w:p>
            <w:pPr>
              <w:spacing w:line="400" w:lineRule="exact"/>
              <w:jc w:val="center"/>
              <w:rPr>
                <w:rFonts w:ascii="仿宋" w:hAnsi="仿宋" w:eastAsia="仿宋" w:cs="仿宋_GB2312"/>
                <w:kern w:val="1"/>
                <w:sz w:val="32"/>
                <w:szCs w:val="32"/>
              </w:rPr>
            </w:pPr>
            <w:r>
              <w:rPr>
                <w:rFonts w:ascii="仿宋" w:hAnsi="仿宋" w:eastAsia="仿宋" w:cs="仿宋_GB2312"/>
                <w:kern w:val="1"/>
                <w:sz w:val="32"/>
                <w:szCs w:val="32"/>
              </w:rPr>
              <w:t>废橡胶护舷</w:t>
            </w:r>
          </w:p>
        </w:tc>
        <w:tc>
          <w:tcPr>
            <w:tcW w:w="1133" w:type="dxa"/>
            <w:vAlign w:val="center"/>
          </w:tcPr>
          <w:p>
            <w:pPr>
              <w:spacing w:line="400" w:lineRule="exact"/>
              <w:jc w:val="center"/>
              <w:rPr>
                <w:rFonts w:ascii="仿宋" w:hAnsi="仿宋" w:eastAsia="仿宋" w:cs="仿宋_GB2312"/>
                <w:kern w:val="1"/>
                <w:sz w:val="32"/>
                <w:szCs w:val="32"/>
              </w:rPr>
            </w:pPr>
            <w:r>
              <w:rPr>
                <w:rFonts w:hint="eastAsia" w:ascii="仿宋" w:hAnsi="仿宋" w:eastAsia="仿宋" w:cs="仿宋_GB2312"/>
                <w:kern w:val="1"/>
                <w:sz w:val="32"/>
                <w:szCs w:val="32"/>
              </w:rPr>
              <w:t>只</w:t>
            </w:r>
          </w:p>
        </w:tc>
        <w:tc>
          <w:tcPr>
            <w:tcW w:w="1700" w:type="dxa"/>
            <w:vAlign w:val="center"/>
          </w:tcPr>
          <w:p>
            <w:pPr>
              <w:spacing w:line="400" w:lineRule="exact"/>
              <w:jc w:val="center"/>
              <w:rPr>
                <w:rFonts w:ascii="仿宋" w:hAnsi="仿宋" w:eastAsia="仿宋" w:cs="仿宋_GB2312"/>
                <w:kern w:val="1"/>
                <w:sz w:val="32"/>
                <w:szCs w:val="32"/>
              </w:rPr>
            </w:pPr>
            <w:r>
              <w:rPr>
                <w:rFonts w:hint="eastAsia" w:ascii="仿宋" w:hAnsi="仿宋" w:eastAsia="仿宋" w:cs="仿宋_GB2312"/>
                <w:kern w:val="1"/>
                <w:sz w:val="32"/>
                <w:szCs w:val="32"/>
              </w:rPr>
              <w:t>25</w:t>
            </w:r>
          </w:p>
        </w:tc>
        <w:tc>
          <w:tcPr>
            <w:tcW w:w="1561" w:type="dxa"/>
            <w:vAlign w:val="center"/>
          </w:tcPr>
          <w:p>
            <w:pPr>
              <w:spacing w:line="400" w:lineRule="exact"/>
              <w:jc w:val="center"/>
              <w:rPr>
                <w:rFonts w:ascii="仿宋" w:hAnsi="仿宋" w:eastAsia="仿宋" w:cs="方正仿宋简体"/>
                <w:sz w:val="32"/>
                <w:szCs w:val="32"/>
              </w:rPr>
            </w:pPr>
          </w:p>
        </w:tc>
        <w:tc>
          <w:tcPr>
            <w:tcW w:w="2008" w:type="dxa"/>
            <w:vAlign w:val="center"/>
          </w:tcPr>
          <w:p>
            <w:pPr>
              <w:spacing w:line="400" w:lineRule="exact"/>
              <w:jc w:val="center"/>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227" w:type="dxa"/>
            <w:gridSpan w:val="2"/>
            <w:vAlign w:val="center"/>
          </w:tcPr>
          <w:p>
            <w:pPr>
              <w:spacing w:line="600" w:lineRule="exact"/>
              <w:jc w:val="left"/>
              <w:rPr>
                <w:rFonts w:ascii="仿宋" w:hAnsi="仿宋" w:eastAsia="仿宋" w:cs="方正仿宋简体"/>
                <w:sz w:val="32"/>
                <w:szCs w:val="32"/>
              </w:rPr>
            </w:pPr>
            <w:r>
              <w:rPr>
                <w:rFonts w:hint="eastAsia" w:ascii="仿宋" w:hAnsi="仿宋" w:eastAsia="仿宋" w:cs="方正仿宋简体"/>
                <w:sz w:val="32"/>
                <w:szCs w:val="32"/>
              </w:rPr>
              <w:t>以上预估合计总价：</w:t>
            </w:r>
          </w:p>
        </w:tc>
        <w:tc>
          <w:tcPr>
            <w:tcW w:w="6402" w:type="dxa"/>
            <w:gridSpan w:val="4"/>
            <w:vAlign w:val="center"/>
          </w:tcPr>
          <w:p>
            <w:pPr>
              <w:spacing w:line="600" w:lineRule="exact"/>
              <w:jc w:val="left"/>
              <w:rPr>
                <w:rFonts w:ascii="仿宋" w:hAnsi="仿宋" w:eastAsia="仿宋"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227" w:type="dxa"/>
            <w:gridSpan w:val="2"/>
            <w:vAlign w:val="center"/>
          </w:tcPr>
          <w:p>
            <w:pPr>
              <w:spacing w:line="600" w:lineRule="exact"/>
              <w:ind w:firstLine="960" w:firstLineChars="300"/>
              <w:jc w:val="left"/>
              <w:rPr>
                <w:rFonts w:ascii="仿宋" w:hAnsi="仿宋" w:eastAsia="仿宋" w:cs="方正仿宋简体"/>
                <w:sz w:val="32"/>
                <w:szCs w:val="32"/>
              </w:rPr>
            </w:pPr>
            <w:r>
              <w:rPr>
                <w:rFonts w:hint="eastAsia" w:ascii="仿宋" w:hAnsi="仿宋" w:eastAsia="仿宋" w:cs="方正仿宋简体"/>
                <w:sz w:val="32"/>
                <w:szCs w:val="32"/>
              </w:rPr>
              <w:t>税  率</w:t>
            </w:r>
          </w:p>
        </w:tc>
        <w:tc>
          <w:tcPr>
            <w:tcW w:w="6402" w:type="dxa"/>
            <w:gridSpan w:val="4"/>
            <w:vAlign w:val="center"/>
          </w:tcPr>
          <w:p>
            <w:pPr>
              <w:spacing w:line="600" w:lineRule="exact"/>
              <w:jc w:val="left"/>
              <w:rPr>
                <w:rFonts w:ascii="仿宋" w:hAnsi="仿宋" w:eastAsia="仿宋" w:cs="方正仿宋简体"/>
                <w:sz w:val="32"/>
                <w:szCs w:val="32"/>
              </w:rPr>
            </w:pPr>
            <w:r>
              <w:rPr>
                <w:rFonts w:hint="eastAsia" w:ascii="仿宋" w:hAnsi="仿宋" w:eastAsia="仿宋" w:cs="方正仿宋简体"/>
                <w:sz w:val="32"/>
                <w:szCs w:val="32"/>
              </w:rPr>
              <w:t xml:space="preserve">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227" w:type="dxa"/>
            <w:gridSpan w:val="2"/>
            <w:vAlign w:val="center"/>
          </w:tcPr>
          <w:p>
            <w:pPr>
              <w:spacing w:line="600" w:lineRule="exact"/>
              <w:ind w:firstLine="960" w:firstLineChars="300"/>
              <w:jc w:val="left"/>
              <w:rPr>
                <w:rFonts w:ascii="仿宋" w:hAnsi="仿宋" w:eastAsia="仿宋" w:cs="方正仿宋简体"/>
                <w:color w:val="000000" w:themeColor="text1"/>
                <w:sz w:val="32"/>
                <w:szCs w:val="32"/>
              </w:rPr>
            </w:pPr>
            <w:r>
              <w:rPr>
                <w:rFonts w:hint="eastAsia" w:ascii="仿宋" w:hAnsi="仿宋" w:eastAsia="仿宋" w:cs="方正仿宋简体"/>
                <w:color w:val="000000" w:themeColor="text1"/>
                <w:sz w:val="32"/>
                <w:szCs w:val="32"/>
              </w:rPr>
              <w:t>备 注</w:t>
            </w:r>
          </w:p>
        </w:tc>
        <w:tc>
          <w:tcPr>
            <w:tcW w:w="6402" w:type="dxa"/>
            <w:gridSpan w:val="4"/>
            <w:vAlign w:val="center"/>
          </w:tcPr>
          <w:p>
            <w:pPr>
              <w:spacing w:line="600" w:lineRule="exact"/>
              <w:jc w:val="left"/>
              <w:rPr>
                <w:rFonts w:ascii="仿宋" w:hAnsi="仿宋" w:eastAsia="仿宋" w:cs="方正仿宋简体"/>
                <w:color w:val="0000FF"/>
                <w:sz w:val="32"/>
                <w:szCs w:val="32"/>
              </w:rPr>
            </w:pPr>
            <w:r>
              <w:rPr>
                <w:rFonts w:hint="eastAsia" w:ascii="仿宋" w:hAnsi="仿宋" w:eastAsia="仿宋" w:cs="方正仿宋简体"/>
                <w:color w:val="000000" w:themeColor="text1"/>
                <w:kern w:val="1"/>
                <w:sz w:val="28"/>
                <w:szCs w:val="28"/>
              </w:rPr>
              <w:t>堆放处置物现场垃圾及处置产生的垃圾由中标方负责清运和处理（需过磅），不得倒在厂区内，施工结束保持现场整洁。</w:t>
            </w:r>
          </w:p>
        </w:tc>
      </w:tr>
    </w:tbl>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仿宋简体"/>
          <w:sz w:val="32"/>
          <w:szCs w:val="32"/>
        </w:rPr>
        <w:t>1.在满足招标人使用要求前提下，以报价格式</w:t>
      </w:r>
      <w:r>
        <w:rPr>
          <w:rFonts w:hint="eastAsia" w:ascii="仿宋" w:hAnsi="仿宋" w:eastAsia="仿宋" w:cs="方正仿宋简体"/>
          <w:color w:val="000000"/>
          <w:sz w:val="32"/>
          <w:szCs w:val="32"/>
        </w:rPr>
        <w:t>总价</w:t>
      </w:r>
      <w:r>
        <w:rPr>
          <w:rFonts w:hint="eastAsia" w:ascii="仿宋" w:hAnsi="仿宋" w:eastAsia="仿宋" w:cs="方正仿宋简体"/>
          <w:sz w:val="32"/>
          <w:szCs w:val="32"/>
        </w:rPr>
        <w:t>作为总投标价，总投标价只为确定中标单位作依据。</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仿宋简体"/>
          <w:sz w:val="32"/>
          <w:szCs w:val="32"/>
        </w:rPr>
        <w:t>2.按报价格式进行填报，每格均需填报，无报价以斜线、横线或0填满。</w:t>
      </w:r>
    </w:p>
    <w:p>
      <w:pPr>
        <w:pStyle w:val="2"/>
        <w:ind w:firstLine="480" w:firstLineChars="150"/>
        <w:rPr>
          <w:rFonts w:ascii="仿宋" w:hAnsi="仿宋" w:eastAsia="仿宋" w:cs="方正仿宋简体"/>
          <w:sz w:val="32"/>
          <w:szCs w:val="32"/>
        </w:rPr>
      </w:pPr>
      <w:r>
        <w:rPr>
          <w:rFonts w:hint="eastAsia" w:ascii="仿宋" w:hAnsi="仿宋" w:eastAsia="仿宋" w:cs="方正仿宋简体"/>
          <w:sz w:val="32"/>
          <w:szCs w:val="32"/>
        </w:rPr>
        <w:t xml:space="preserve"> 3.数量为预估量，最终根据过磅的实际数量进行结算。</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三.交货时间：合同签订后30个工作日内完成废旧物资处置工作（节假日、雨天顺延）</w:t>
      </w:r>
    </w:p>
    <w:p>
      <w:pPr>
        <w:spacing w:line="600" w:lineRule="exact"/>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四.我方承诺遵守招标文件中的全部规定；</w:t>
      </w:r>
    </w:p>
    <w:p>
      <w:pPr>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五.我方承诺中标后双方签订合同,并承担合同规定的责任义务；</w:t>
      </w:r>
    </w:p>
    <w:p>
      <w:pPr>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仿宋" w:hAnsi="仿宋" w:eastAsia="仿宋" w:cs="方正仿宋简体"/>
          <w:sz w:val="32"/>
          <w:szCs w:val="32"/>
          <w:shd w:val="clear" w:color="auto" w:fill="FFFFFF"/>
        </w:rPr>
      </w:pPr>
      <w:r>
        <w:rPr>
          <w:rFonts w:hint="eastAsia" w:ascii="仿宋" w:hAnsi="仿宋" w:eastAsia="仿宋" w:cs="方正仿宋简体"/>
          <w:bCs/>
          <w:kern w:val="1"/>
          <w:sz w:val="32"/>
          <w:szCs w:val="32"/>
        </w:rPr>
        <w:t>七.愿意向贵方提供任何与该项投标有关的数据、情况和技术资料，</w:t>
      </w:r>
      <w:r>
        <w:rPr>
          <w:rFonts w:hint="eastAsia" w:ascii="仿宋" w:hAnsi="仿宋" w:eastAsia="仿宋"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仿宋" w:hAnsi="仿宋" w:eastAsia="仿宋" w:cs="方正仿宋简体"/>
          <w:color w:val="000000"/>
          <w:sz w:val="32"/>
          <w:szCs w:val="32"/>
        </w:rPr>
      </w:pPr>
      <w:r>
        <w:rPr>
          <w:rFonts w:hint="eastAsia" w:ascii="仿宋" w:hAnsi="仿宋" w:eastAsia="仿宋" w:cs="方正仿宋简体"/>
          <w:bCs/>
          <w:color w:val="000000"/>
          <w:kern w:val="1"/>
          <w:sz w:val="32"/>
          <w:szCs w:val="32"/>
        </w:rPr>
        <w:t>八.投标单位其他说明情况：</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全权代表（签字）：</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联系电话：</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投标单位（盖章）：</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日期：</w:t>
      </w:r>
    </w:p>
    <w:p>
      <w:pPr>
        <w:rPr>
          <w:rFonts w:ascii="仿宋" w:hAnsi="仿宋" w:eastAsia="仿宋" w:cs="宋体"/>
          <w:b/>
          <w:bCs/>
          <w:sz w:val="32"/>
          <w:szCs w:val="32"/>
        </w:rPr>
      </w:pPr>
    </w:p>
    <w:p>
      <w:pPr>
        <w:rPr>
          <w:rFonts w:ascii="仿宋" w:hAnsi="仿宋" w:eastAsia="仿宋" w:cs="宋体"/>
          <w:b/>
          <w:bCs/>
          <w:sz w:val="32"/>
          <w:szCs w:val="32"/>
        </w:rPr>
      </w:pPr>
    </w:p>
    <w:p>
      <w:pPr>
        <w:rPr>
          <w:rFonts w:ascii="仿宋" w:hAnsi="仿宋" w:eastAsia="仿宋" w:cs="宋体"/>
          <w:b/>
          <w:bCs/>
          <w:sz w:val="32"/>
          <w:szCs w:val="32"/>
        </w:rPr>
      </w:pPr>
    </w:p>
    <w:p>
      <w:pPr>
        <w:rPr>
          <w:rFonts w:ascii="仿宋" w:hAnsi="仿宋" w:eastAsia="仿宋" w:cs="宋体"/>
          <w:b/>
          <w:bCs/>
          <w:sz w:val="32"/>
          <w:szCs w:val="32"/>
        </w:rPr>
      </w:pPr>
    </w:p>
    <w:p>
      <w:pPr>
        <w:pStyle w:val="2"/>
      </w:pPr>
    </w:p>
    <w:p>
      <w:pPr>
        <w:pStyle w:val="8"/>
        <w:adjustRightInd w:val="0"/>
        <w:snapToGrid w:val="0"/>
        <w:spacing w:before="0" w:after="0" w:line="600" w:lineRule="exact"/>
        <w:jc w:val="left"/>
        <w:rPr>
          <w:rFonts w:ascii="仿宋" w:hAnsi="仿宋" w:eastAsia="仿宋" w:cs="方正黑体_GBK"/>
          <w:b w:val="0"/>
        </w:rPr>
      </w:pPr>
      <w:r>
        <w:rPr>
          <w:rFonts w:hint="eastAsia" w:ascii="仿宋" w:hAnsi="仿宋" w:eastAsia="仿宋" w:cs="方正仿宋简体"/>
          <w:kern w:val="1"/>
        </w:rPr>
        <w:t>附件1</w:t>
      </w:r>
    </w:p>
    <w:p>
      <w:pPr>
        <w:pStyle w:val="8"/>
        <w:adjustRightInd w:val="0"/>
        <w:snapToGrid w:val="0"/>
        <w:spacing w:before="0" w:after="0" w:line="600" w:lineRule="exact"/>
        <w:rPr>
          <w:rFonts w:ascii="仿宋" w:hAnsi="仿宋" w:eastAsia="仿宋"/>
          <w:b w:val="0"/>
        </w:rPr>
      </w:pPr>
      <w:r>
        <w:rPr>
          <w:rFonts w:hint="eastAsia" w:ascii="仿宋" w:hAnsi="仿宋" w:eastAsia="仿宋" w:cs="方正黑体_GBK"/>
          <w:b w:val="0"/>
        </w:rPr>
        <w:t xml:space="preserve"> 供应商管理</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供应商负面清单管理</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楷体_GBK"/>
          <w:color w:val="000000"/>
          <w:sz w:val="32"/>
          <w:szCs w:val="32"/>
        </w:rPr>
        <w:t>（一）</w:t>
      </w:r>
      <w:r>
        <w:rPr>
          <w:rFonts w:hint="eastAsia" w:ascii="仿宋" w:hAnsi="仿宋" w:eastAsia="仿宋" w:cs="方正仿宋简体"/>
          <w:sz w:val="32"/>
          <w:szCs w:val="32"/>
        </w:rPr>
        <w:t>管理职责</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3.监管部门：负责对采购流程的合规性进行监督。</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风险控制部负责归口公司招投标负面清单，具体工作由海纳川各部室及直属单位共同承担。</w:t>
      </w:r>
    </w:p>
    <w:p>
      <w:pPr>
        <w:tabs>
          <w:tab w:val="left" w:pos="2565"/>
        </w:tabs>
        <w:spacing w:line="600" w:lineRule="exact"/>
        <w:rPr>
          <w:rFonts w:ascii="仿宋" w:hAnsi="仿宋" w:eastAsia="仿宋" w:cs="方正仿宋简体"/>
          <w:sz w:val="32"/>
          <w:szCs w:val="32"/>
        </w:rPr>
      </w:pPr>
    </w:p>
    <w:p>
      <w:pPr>
        <w:tabs>
          <w:tab w:val="left" w:pos="2565"/>
        </w:tabs>
        <w:spacing w:line="600" w:lineRule="exact"/>
        <w:rPr>
          <w:rFonts w:ascii="仿宋" w:hAnsi="仿宋" w:eastAsia="仿宋" w:cs="方正仿宋简体"/>
          <w:sz w:val="32"/>
          <w:szCs w:val="32"/>
        </w:rPr>
      </w:pPr>
    </w:p>
    <w:p>
      <w:pPr>
        <w:tabs>
          <w:tab w:val="left" w:pos="2565"/>
        </w:tabs>
        <w:spacing w:line="600" w:lineRule="exact"/>
        <w:rPr>
          <w:rFonts w:ascii="仿宋" w:hAnsi="仿宋" w:eastAsia="仿宋" w:cs="方正仿宋简体"/>
          <w:sz w:val="32"/>
          <w:szCs w:val="32"/>
        </w:rPr>
      </w:pPr>
    </w:p>
    <w:p>
      <w:pPr>
        <w:pStyle w:val="2"/>
        <w:rPr>
          <w:rFonts w:ascii="仿宋" w:hAnsi="仿宋" w:eastAsia="仿宋"/>
          <w:sz w:val="32"/>
          <w:szCs w:val="32"/>
        </w:rPr>
      </w:pPr>
    </w:p>
    <w:p>
      <w:pPr>
        <w:tabs>
          <w:tab w:val="left" w:pos="2565"/>
        </w:tabs>
        <w:spacing w:line="600" w:lineRule="exact"/>
        <w:rPr>
          <w:rFonts w:ascii="仿宋" w:hAnsi="仿宋" w:eastAsia="仿宋" w:cs="方正仿宋简体"/>
          <w:sz w:val="32"/>
          <w:szCs w:val="32"/>
        </w:rPr>
      </w:pPr>
    </w:p>
    <w:p>
      <w:pPr>
        <w:tabs>
          <w:tab w:val="left" w:pos="2565"/>
        </w:tabs>
        <w:spacing w:line="600" w:lineRule="exact"/>
        <w:rPr>
          <w:rFonts w:ascii="仿宋" w:hAnsi="仿宋" w:eastAsia="仿宋" w:cs="方正仿宋简体"/>
          <w:sz w:val="32"/>
          <w:szCs w:val="32"/>
        </w:rPr>
      </w:pPr>
    </w:p>
    <w:p>
      <w:pPr>
        <w:numPr>
          <w:ilvl w:val="0"/>
          <w:numId w:val="2"/>
        </w:numPr>
        <w:tabs>
          <w:tab w:val="left" w:pos="2565"/>
        </w:tabs>
        <w:spacing w:line="600" w:lineRule="exact"/>
        <w:ind w:firstLine="640" w:firstLineChars="200"/>
        <w:rPr>
          <w:rFonts w:ascii="仿宋" w:hAnsi="仿宋" w:eastAsia="仿宋" w:cs="方正仿宋简体"/>
          <w:sz w:val="32"/>
          <w:szCs w:val="32"/>
        </w:rPr>
      </w:pPr>
      <w:r>
        <w:rPr>
          <w:rFonts w:ascii="仿宋" w:hAnsi="仿宋" w:eastAsia="仿宋"/>
          <w:sz w:val="32"/>
          <w:szCs w:val="32"/>
        </w:rP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6" o:title=""/>
            <o:lock v:ext="edit" aspectratio="t"/>
            <w10:wrap type="square"/>
          </v:shape>
        </w:pict>
      </w:r>
      <w:r>
        <w:rPr>
          <w:rFonts w:hint="eastAsia" w:ascii="仿宋" w:hAnsi="仿宋" w:eastAsia="仿宋" w:cs="方正仿宋简体"/>
          <w:sz w:val="32"/>
          <w:szCs w:val="32"/>
        </w:rPr>
        <w:t>负面清单确定流程</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供应商积分管理</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楷体_GBK"/>
          <w:color w:val="000000"/>
          <w:sz w:val="32"/>
          <w:szCs w:val="32"/>
        </w:rPr>
        <w:t>（一）</w:t>
      </w:r>
      <w:r>
        <w:rPr>
          <w:rFonts w:hint="eastAsia" w:ascii="仿宋" w:hAnsi="仿宋" w:eastAsia="仿宋" w:cs="方正仿宋简体"/>
          <w:sz w:val="32"/>
          <w:szCs w:val="32"/>
        </w:rPr>
        <w:t>供应商积分考核</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1.继续合作供应商：考核扣分介于0～7分之间，为可继续合作的供应商。</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楷体_GBK"/>
          <w:color w:val="000000"/>
          <w:sz w:val="32"/>
          <w:szCs w:val="32"/>
        </w:rPr>
        <w:t>（二）</w:t>
      </w:r>
      <w:r>
        <w:rPr>
          <w:rFonts w:hint="eastAsia" w:ascii="仿宋" w:hAnsi="仿宋" w:eastAsia="仿宋" w:cs="方正仿宋简体"/>
          <w:sz w:val="32"/>
          <w:szCs w:val="32"/>
        </w:rPr>
        <w:t>供应商考核方法</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1.</w:t>
      </w:r>
      <w:r>
        <w:rPr>
          <w:rFonts w:hint="eastAsia" w:ascii="仿宋" w:hAnsi="仿宋" w:eastAsia="仿宋" w:cs="方正仿宋简体"/>
          <w:b/>
          <w:sz w:val="32"/>
          <w:szCs w:val="32"/>
        </w:rPr>
        <w:t>建筑施工方</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（1）质量方面</w:t>
      </w:r>
    </w:p>
    <w:p>
      <w:pPr>
        <w:tabs>
          <w:tab w:val="left" w:pos="2565"/>
        </w:tabs>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sz w:val="32"/>
          <w:szCs w:val="32"/>
        </w:rPr>
        <w:t>①</w:t>
      </w:r>
      <w:r>
        <w:rPr>
          <w:rFonts w:hint="eastAsia" w:ascii="仿宋" w:hAnsi="仿宋" w:eastAsia="仿宋" w:cs="方正仿宋简体"/>
          <w:bCs/>
          <w:sz w:val="32"/>
          <w:szCs w:val="32"/>
        </w:rPr>
        <w:t>施工材料出现质量问题，及时调换，未影响生产的，单次扣1</w:t>
      </w:r>
      <w:r>
        <w:rPr>
          <w:rFonts w:hint="eastAsia" w:ascii="仿宋" w:hAnsi="仿宋" w:eastAsia="仿宋" w:cs="方正仿宋简体"/>
          <w:kern w:val="0"/>
          <w:sz w:val="32"/>
          <w:szCs w:val="32"/>
        </w:rPr>
        <w:t>～</w:t>
      </w:r>
      <w:r>
        <w:rPr>
          <w:rFonts w:hint="eastAsia" w:ascii="仿宋" w:hAnsi="仿宋" w:eastAsia="仿宋" w:cs="方正仿宋简体"/>
          <w:bCs/>
          <w:sz w:val="32"/>
          <w:szCs w:val="32"/>
        </w:rPr>
        <w:t>3分；影响生产的，视严重程度单次扣5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②施工材料存在质量问题，未能及时更换，单次扣10分。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③不能满足工程质量要求的，考核5-10分。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（2）工期方面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不能满足进度要求的，考核5-10分。</w:t>
      </w:r>
    </w:p>
    <w:p>
      <w:pPr>
        <w:spacing w:line="600" w:lineRule="exact"/>
        <w:ind w:firstLine="640" w:firstLineChars="200"/>
        <w:rPr>
          <w:rFonts w:ascii="仿宋" w:hAnsi="仿宋" w:eastAsia="仿宋" w:cs="方正楷体_GBK"/>
          <w:bCs/>
          <w:sz w:val="32"/>
          <w:szCs w:val="32"/>
        </w:rPr>
      </w:pPr>
      <w:r>
        <w:rPr>
          <w:rFonts w:hint="eastAsia" w:ascii="仿宋" w:hAnsi="仿宋" w:eastAsia="仿宋" w:cs="方正仿宋简体"/>
          <w:bCs/>
          <w:sz w:val="32"/>
          <w:szCs w:val="32"/>
        </w:rPr>
        <w:t>（3）安全方面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现场施工人员不服从招标方安全管理的，考核5-10分。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（4）售后方面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①对我公司的售后服务要求不能及时响应，单次扣2分。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②售后人员不能及时解决问题，单次扣3分。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③在质保期之内，拒绝提供售后服务，单次扣5分。</w:t>
      </w:r>
    </w:p>
    <w:p>
      <w:pPr>
        <w:spacing w:line="600" w:lineRule="exact"/>
        <w:ind w:left="560"/>
        <w:rPr>
          <w:rFonts w:ascii="仿宋" w:hAnsi="仿宋" w:eastAsia="仿宋" w:cs="方正楷体_GBK"/>
          <w:bCs/>
          <w:sz w:val="32"/>
          <w:szCs w:val="32"/>
        </w:rPr>
      </w:pPr>
      <w:r>
        <w:rPr>
          <w:rFonts w:hint="eastAsia" w:ascii="仿宋" w:hAnsi="仿宋" w:eastAsia="仿宋" w:cs="方正仿宋简体"/>
          <w:sz w:val="32"/>
          <w:szCs w:val="32"/>
        </w:rPr>
        <w:t>（5）</w:t>
      </w:r>
      <w:r>
        <w:rPr>
          <w:rFonts w:hint="eastAsia" w:ascii="仿宋" w:hAnsi="仿宋" w:eastAsia="仿宋" w:cs="方正仿宋简体"/>
          <w:bCs/>
          <w:sz w:val="32"/>
          <w:szCs w:val="32"/>
        </w:rPr>
        <w:t>资信方面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①中标之后拒绝签订合同或拒绝履行合同，视影响生产程度严重的单次扣5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②交货后不能及时开具发票并送交至业务员，单次扣1分。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③未按合同明细开票，弄虚作假，视严重程度单次扣5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④注册信息及基本资质证书不属实，视严重程度单次扣3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⑤违反廉洁协议，视严重程度单次扣5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3" w:firstLineChars="200"/>
        <w:rPr>
          <w:rFonts w:ascii="仿宋" w:hAnsi="仿宋" w:eastAsia="仿宋" w:cs="方正仿宋简体"/>
          <w:b/>
          <w:sz w:val="32"/>
          <w:szCs w:val="32"/>
        </w:rPr>
      </w:pPr>
      <w:r>
        <w:rPr>
          <w:rFonts w:hint="eastAsia" w:ascii="仿宋" w:hAnsi="仿宋" w:eastAsia="仿宋" w:cs="方正仿宋简体"/>
          <w:b/>
          <w:sz w:val="32"/>
          <w:szCs w:val="32"/>
        </w:rPr>
        <w:t>2.备品备件供应商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（1）质量方面</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①所供产品出现质量问题，及时调换，未影响生产的，单次扣1</w:t>
      </w:r>
      <w:r>
        <w:rPr>
          <w:rFonts w:hint="eastAsia" w:ascii="仿宋" w:hAnsi="仿宋" w:eastAsia="仿宋" w:cs="方正仿宋简体"/>
          <w:kern w:val="0"/>
          <w:sz w:val="32"/>
          <w:szCs w:val="32"/>
        </w:rPr>
        <w:t>～</w:t>
      </w:r>
      <w:r>
        <w:rPr>
          <w:rFonts w:hint="eastAsia" w:ascii="仿宋" w:hAnsi="仿宋" w:eastAsia="仿宋" w:cs="方正仿宋简体"/>
          <w:bCs/>
          <w:sz w:val="32"/>
          <w:szCs w:val="32"/>
        </w:rPr>
        <w:t>3分；影响生产的，视严重程度单次扣5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②所供产品存在质量问题，未能及时更换，单次扣10分。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③所供产品质量问题导致设备故障，视严重程度单次扣5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（2）交货方面</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①交货时无质检报告或合格证等必要资料的，单次扣2分。</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②交货时未按规定包装的，单次扣1分。</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③不能按照合同约定交货，除了按合同条款进行相应处罚外，未造成影响的，单次扣2分；造成影响的，视严重程度单次扣5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④交货过程中串通作假，视严重程度单次扣5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（3）售后方面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①对我公司的售后服务要求不能及时响应，单次扣2分。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②售后人员不能及时解决问题，单次扣3分。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③在质保期之内，拒绝提供售后服务，单次扣5分。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（4）资信方面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①中标之后拒绝签订合同或拒绝履行合同，视影响生产程度严重的单次扣5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②交货后不能及时开具发票并送交至业务员，单次扣1分。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③未按合同明细开票，弄虚作假，视严重程度单次扣5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④注册信息及基本资质证书不属实，视严重程度单次扣3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⑤违反廉洁协议，视严重程度单次扣5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⑥因知识产权引起纠纷，除按合同规定执行外，视严重程度单次扣3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3" w:firstLineChars="200"/>
        <w:rPr>
          <w:rFonts w:ascii="仿宋" w:hAnsi="仿宋" w:eastAsia="仿宋" w:cs="方正仿宋简体"/>
          <w:b/>
          <w:sz w:val="32"/>
          <w:szCs w:val="32"/>
        </w:rPr>
      </w:pPr>
      <w:r>
        <w:rPr>
          <w:rFonts w:hint="eastAsia" w:ascii="仿宋" w:hAnsi="仿宋" w:eastAsia="仿宋" w:cs="方正仿宋简体"/>
          <w:b/>
          <w:sz w:val="32"/>
          <w:szCs w:val="32"/>
        </w:rPr>
        <w:t>3.物流承运商</w:t>
      </w:r>
    </w:p>
    <w:p>
      <w:pPr>
        <w:tabs>
          <w:tab w:val="left" w:pos="851"/>
        </w:tabs>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（1）车船要求方面</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①必须做到证照齐全，即车船有行驶证、道路运输证、罐检报告，人员有驾驶证、资格证、押运证等，如不全单次扣2</w:t>
      </w:r>
      <w:r>
        <w:rPr>
          <w:rFonts w:hint="eastAsia" w:ascii="仿宋" w:hAnsi="仿宋" w:eastAsia="仿宋" w:cs="方正仿宋简体"/>
          <w:kern w:val="0"/>
          <w:sz w:val="32"/>
          <w:szCs w:val="32"/>
        </w:rPr>
        <w:t>～</w:t>
      </w:r>
      <w:r>
        <w:rPr>
          <w:rFonts w:hint="eastAsia" w:ascii="仿宋" w:hAnsi="仿宋" w:eastAsia="仿宋" w:cs="方正仿宋简体"/>
          <w:bCs/>
          <w:sz w:val="32"/>
          <w:szCs w:val="32"/>
        </w:rPr>
        <w:t>5分。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②车船状况保持完好、设施齐全，发现缺损扣1</w:t>
      </w:r>
      <w:r>
        <w:rPr>
          <w:rFonts w:hint="eastAsia" w:ascii="仿宋" w:hAnsi="仿宋" w:eastAsia="仿宋" w:cs="方正仿宋简体"/>
          <w:kern w:val="0"/>
          <w:sz w:val="32"/>
          <w:szCs w:val="32"/>
        </w:rPr>
        <w:t>～</w:t>
      </w:r>
      <w:r>
        <w:rPr>
          <w:rFonts w:hint="eastAsia" w:ascii="仿宋" w:hAnsi="仿宋" w:eastAsia="仿宋" w:cs="方正仿宋简体"/>
          <w:bCs/>
          <w:sz w:val="32"/>
          <w:szCs w:val="32"/>
        </w:rPr>
        <w:t>2分。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（2）计划完成方面</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运输单位须按发货计划安排车船完成运输任务，否则单次扣2分。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（3）资信方面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①中标之后拒绝签订合同或拒绝履行合同，视影响运输严重程度单次扣3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②不及时开具发票并送交至业务员，单次扣1分。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③未按实际运输任务明细开票，弄虚作假，视严重程度单次扣5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④注册信息及基本资质证书不属实，视严重程度单次扣3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highlight w:val="yellow"/>
        </w:rPr>
      </w:pPr>
      <w:r>
        <w:rPr>
          <w:rFonts w:hint="eastAsia" w:ascii="仿宋" w:hAnsi="仿宋" w:eastAsia="仿宋" w:cs="方正仿宋简体"/>
          <w:bCs/>
          <w:sz w:val="32"/>
          <w:szCs w:val="32"/>
        </w:rPr>
        <w:t>⑤违反廉洁协议，视严重程度单次扣5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3" w:firstLineChars="200"/>
        <w:rPr>
          <w:rFonts w:ascii="仿宋" w:hAnsi="仿宋" w:eastAsia="仿宋" w:cs="仿宋"/>
          <w:b/>
          <w:bCs/>
          <w:sz w:val="32"/>
          <w:szCs w:val="32"/>
        </w:rPr>
      </w:pPr>
      <w:r>
        <w:rPr>
          <w:rFonts w:hint="eastAsia" w:ascii="仿宋" w:hAnsi="仿宋" w:eastAsia="仿宋" w:cs="方正仿宋简体"/>
          <w:b/>
          <w:bCs/>
          <w:sz w:val="32"/>
          <w:szCs w:val="32"/>
        </w:rPr>
        <w:t>从负面清单中消除的流程</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楷体_GBK"/>
          <w:sz w:val="32"/>
          <w:szCs w:val="32"/>
        </w:rPr>
        <w:t>（一）</w:t>
      </w:r>
      <w:r>
        <w:rPr>
          <w:rFonts w:hint="eastAsia" w:ascii="仿宋" w:hAnsi="仿宋" w:eastAsia="仿宋" w:cs="方正仿宋简体"/>
          <w:sz w:val="32"/>
          <w:szCs w:val="32"/>
        </w:rPr>
        <w:t>供应商提出申请</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仿宋_GBK"/>
          <w:sz w:val="32"/>
          <w:szCs w:val="32"/>
        </w:rPr>
        <w:t>1.</w:t>
      </w:r>
      <w:r>
        <w:rPr>
          <w:rFonts w:hint="eastAsia" w:ascii="仿宋" w:hAnsi="仿宋" w:eastAsia="仿宋" w:cs="方正仿宋简体"/>
          <w:sz w:val="32"/>
          <w:szCs w:val="32"/>
        </w:rPr>
        <w:t>供应商提出负面清单消除的书面申请。</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仿宋_GBK"/>
          <w:sz w:val="32"/>
          <w:szCs w:val="32"/>
        </w:rPr>
        <w:t>2.</w:t>
      </w:r>
      <w:r>
        <w:rPr>
          <w:rFonts w:hint="eastAsia" w:ascii="仿宋" w:hAnsi="仿宋" w:eastAsia="仿宋" w:cs="方正仿宋简体"/>
          <w:sz w:val="32"/>
          <w:szCs w:val="32"/>
        </w:rPr>
        <w:t>供应商提供针对考核项的整改措施及效果等相关文件材料。</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楷体_GBK"/>
          <w:sz w:val="32"/>
          <w:szCs w:val="32"/>
        </w:rPr>
        <w:t>（二）</w:t>
      </w:r>
      <w:r>
        <w:rPr>
          <w:rFonts w:hint="eastAsia" w:ascii="仿宋" w:hAnsi="仿宋" w:eastAsia="仿宋" w:cs="方正仿宋简体"/>
          <w:sz w:val="32"/>
          <w:szCs w:val="32"/>
        </w:rPr>
        <w:t>确认与消除</w:t>
      </w:r>
    </w:p>
    <w:p>
      <w:pPr>
        <w:spacing w:line="600" w:lineRule="exact"/>
        <w:ind w:firstLine="675"/>
        <w:rPr>
          <w:rFonts w:ascii="仿宋" w:hAnsi="仿宋" w:eastAsia="仿宋" w:cs="方正仿宋简体"/>
          <w:sz w:val="32"/>
          <w:szCs w:val="32"/>
        </w:rPr>
      </w:pPr>
      <w:r>
        <w:rPr>
          <w:rFonts w:hint="eastAsia" w:ascii="仿宋" w:hAnsi="仿宋" w:eastAsia="仿宋" w:cs="方正仿宋_GBK"/>
          <w:sz w:val="32"/>
          <w:szCs w:val="32"/>
        </w:rPr>
        <w:t>1.</w:t>
      </w:r>
      <w:r>
        <w:rPr>
          <w:rFonts w:hint="eastAsia" w:ascii="仿宋" w:hAnsi="仿宋" w:eastAsia="仿宋" w:cs="方正仿宋简体"/>
          <w:sz w:val="32"/>
          <w:szCs w:val="32"/>
        </w:rPr>
        <w:t>采购部门牵头组织相关部门对供应商提供的文件材料进行确认，必要时组织现场考察；</w:t>
      </w:r>
    </w:p>
    <w:p>
      <w:pPr>
        <w:spacing w:line="600" w:lineRule="exact"/>
        <w:ind w:firstLine="675"/>
        <w:rPr>
          <w:rFonts w:ascii="仿宋" w:hAnsi="仿宋" w:eastAsia="仿宋" w:cs="方正仿宋简体"/>
          <w:sz w:val="32"/>
          <w:szCs w:val="32"/>
        </w:rPr>
      </w:pPr>
      <w:r>
        <w:rPr>
          <w:rFonts w:hint="eastAsia" w:ascii="仿宋" w:hAnsi="仿宋" w:eastAsia="仿宋" w:cs="方正仿宋_GBK"/>
          <w:sz w:val="32"/>
          <w:szCs w:val="32"/>
        </w:rPr>
        <w:t>2.</w:t>
      </w:r>
      <w:r>
        <w:rPr>
          <w:rFonts w:hint="eastAsia" w:ascii="仿宋" w:hAnsi="仿宋" w:eastAsia="仿宋" w:cs="方正仿宋简体"/>
          <w:sz w:val="32"/>
          <w:szCs w:val="32"/>
        </w:rPr>
        <w:t>根据确认情况提出建议，报公司批准后从负面清单中消除。</w:t>
      </w:r>
    </w:p>
    <w:p>
      <w:pPr>
        <w:spacing w:line="600" w:lineRule="exact"/>
        <w:ind w:firstLine="640" w:firstLineChars="200"/>
        <w:jc w:val="left"/>
        <w:rPr>
          <w:rFonts w:ascii="仿宋" w:hAnsi="仿宋" w:eastAsia="仿宋" w:cs="方正仿宋简体"/>
          <w:color w:val="000000"/>
          <w:sz w:val="32"/>
          <w:szCs w:val="32"/>
        </w:rPr>
      </w:pPr>
    </w:p>
    <w:sectPr>
      <w:headerReference r:id="rId3" w:type="default"/>
      <w:footerReference r:id="rId4" w:type="default"/>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3</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6BFB"/>
    <w:rsid w:val="00030F87"/>
    <w:rsid w:val="00043D45"/>
    <w:rsid w:val="00082991"/>
    <w:rsid w:val="000A22DB"/>
    <w:rsid w:val="000A3FB0"/>
    <w:rsid w:val="000C1845"/>
    <w:rsid w:val="000D37F5"/>
    <w:rsid w:val="000D6A23"/>
    <w:rsid w:val="000E5C81"/>
    <w:rsid w:val="00121D05"/>
    <w:rsid w:val="00126013"/>
    <w:rsid w:val="001260B7"/>
    <w:rsid w:val="0015227C"/>
    <w:rsid w:val="00160290"/>
    <w:rsid w:val="00160846"/>
    <w:rsid w:val="00166793"/>
    <w:rsid w:val="0017768F"/>
    <w:rsid w:val="00193418"/>
    <w:rsid w:val="001A7FE6"/>
    <w:rsid w:val="001E2142"/>
    <w:rsid w:val="001F16BE"/>
    <w:rsid w:val="00206B77"/>
    <w:rsid w:val="00206F52"/>
    <w:rsid w:val="00210C67"/>
    <w:rsid w:val="002133E5"/>
    <w:rsid w:val="002152E3"/>
    <w:rsid w:val="00256B56"/>
    <w:rsid w:val="00273D75"/>
    <w:rsid w:val="00280865"/>
    <w:rsid w:val="002E5DFA"/>
    <w:rsid w:val="002F66BD"/>
    <w:rsid w:val="00331F42"/>
    <w:rsid w:val="00355E41"/>
    <w:rsid w:val="00362415"/>
    <w:rsid w:val="00363B73"/>
    <w:rsid w:val="003732C8"/>
    <w:rsid w:val="003879AD"/>
    <w:rsid w:val="003C384A"/>
    <w:rsid w:val="003D4E6D"/>
    <w:rsid w:val="003D6775"/>
    <w:rsid w:val="003F4A41"/>
    <w:rsid w:val="00401CFC"/>
    <w:rsid w:val="00413897"/>
    <w:rsid w:val="00416C74"/>
    <w:rsid w:val="00431429"/>
    <w:rsid w:val="00466243"/>
    <w:rsid w:val="00477483"/>
    <w:rsid w:val="004875EB"/>
    <w:rsid w:val="004975D5"/>
    <w:rsid w:val="004A254C"/>
    <w:rsid w:val="004C1280"/>
    <w:rsid w:val="004C289D"/>
    <w:rsid w:val="004C6429"/>
    <w:rsid w:val="004F5E27"/>
    <w:rsid w:val="00516F04"/>
    <w:rsid w:val="00582361"/>
    <w:rsid w:val="00587633"/>
    <w:rsid w:val="00590E5C"/>
    <w:rsid w:val="00592CCC"/>
    <w:rsid w:val="00596B3C"/>
    <w:rsid w:val="005A0AAF"/>
    <w:rsid w:val="005B4F07"/>
    <w:rsid w:val="005D1383"/>
    <w:rsid w:val="005D2EBF"/>
    <w:rsid w:val="00613FE3"/>
    <w:rsid w:val="00651599"/>
    <w:rsid w:val="006835A9"/>
    <w:rsid w:val="006C1F81"/>
    <w:rsid w:val="006D00BD"/>
    <w:rsid w:val="006D3753"/>
    <w:rsid w:val="006D3CEC"/>
    <w:rsid w:val="00711B64"/>
    <w:rsid w:val="007254B5"/>
    <w:rsid w:val="00744980"/>
    <w:rsid w:val="00745CE9"/>
    <w:rsid w:val="0075130D"/>
    <w:rsid w:val="00753CD1"/>
    <w:rsid w:val="007875CD"/>
    <w:rsid w:val="007A4C6E"/>
    <w:rsid w:val="007D630F"/>
    <w:rsid w:val="007E3376"/>
    <w:rsid w:val="007E6E47"/>
    <w:rsid w:val="007F455A"/>
    <w:rsid w:val="007F63EB"/>
    <w:rsid w:val="00842B41"/>
    <w:rsid w:val="00856599"/>
    <w:rsid w:val="00882A3F"/>
    <w:rsid w:val="008C785B"/>
    <w:rsid w:val="008D0757"/>
    <w:rsid w:val="008D2F65"/>
    <w:rsid w:val="008D5377"/>
    <w:rsid w:val="008E58EA"/>
    <w:rsid w:val="008F0772"/>
    <w:rsid w:val="0091028A"/>
    <w:rsid w:val="0093613E"/>
    <w:rsid w:val="00952F18"/>
    <w:rsid w:val="0096289F"/>
    <w:rsid w:val="00964658"/>
    <w:rsid w:val="00964997"/>
    <w:rsid w:val="00975ECA"/>
    <w:rsid w:val="00984049"/>
    <w:rsid w:val="00984077"/>
    <w:rsid w:val="00993AD6"/>
    <w:rsid w:val="009A055F"/>
    <w:rsid w:val="009A43DF"/>
    <w:rsid w:val="009D1883"/>
    <w:rsid w:val="009D62DA"/>
    <w:rsid w:val="00A409F9"/>
    <w:rsid w:val="00A63D7F"/>
    <w:rsid w:val="00A7381A"/>
    <w:rsid w:val="00A91E1F"/>
    <w:rsid w:val="00AA5A77"/>
    <w:rsid w:val="00AB0A84"/>
    <w:rsid w:val="00AB4D84"/>
    <w:rsid w:val="00AB6095"/>
    <w:rsid w:val="00AC569D"/>
    <w:rsid w:val="00AE1ABA"/>
    <w:rsid w:val="00AF2E9F"/>
    <w:rsid w:val="00B15628"/>
    <w:rsid w:val="00B33953"/>
    <w:rsid w:val="00B353E5"/>
    <w:rsid w:val="00B51C96"/>
    <w:rsid w:val="00B65C2D"/>
    <w:rsid w:val="00B73351"/>
    <w:rsid w:val="00B74389"/>
    <w:rsid w:val="00B74619"/>
    <w:rsid w:val="00B82CED"/>
    <w:rsid w:val="00B834E2"/>
    <w:rsid w:val="00B86173"/>
    <w:rsid w:val="00B9394D"/>
    <w:rsid w:val="00BD78FB"/>
    <w:rsid w:val="00BF2809"/>
    <w:rsid w:val="00C258E8"/>
    <w:rsid w:val="00C56465"/>
    <w:rsid w:val="00C601A1"/>
    <w:rsid w:val="00C72CCB"/>
    <w:rsid w:val="00C75AA4"/>
    <w:rsid w:val="00C82F86"/>
    <w:rsid w:val="00C97E7F"/>
    <w:rsid w:val="00CA5F04"/>
    <w:rsid w:val="00D12CBE"/>
    <w:rsid w:val="00D24639"/>
    <w:rsid w:val="00D264E6"/>
    <w:rsid w:val="00D32CC0"/>
    <w:rsid w:val="00D75FC4"/>
    <w:rsid w:val="00DB1FE6"/>
    <w:rsid w:val="00DB783E"/>
    <w:rsid w:val="00DD194E"/>
    <w:rsid w:val="00DF78F9"/>
    <w:rsid w:val="00DF7C7B"/>
    <w:rsid w:val="00E110E6"/>
    <w:rsid w:val="00E14FBA"/>
    <w:rsid w:val="00E45A9C"/>
    <w:rsid w:val="00E52F14"/>
    <w:rsid w:val="00E553A7"/>
    <w:rsid w:val="00E626DD"/>
    <w:rsid w:val="00E672FD"/>
    <w:rsid w:val="00E74639"/>
    <w:rsid w:val="00E86963"/>
    <w:rsid w:val="00E9659A"/>
    <w:rsid w:val="00EC629C"/>
    <w:rsid w:val="00EE7546"/>
    <w:rsid w:val="00F00CCA"/>
    <w:rsid w:val="00F10E58"/>
    <w:rsid w:val="00F13A89"/>
    <w:rsid w:val="00F16E4B"/>
    <w:rsid w:val="00F32DB5"/>
    <w:rsid w:val="00F3681D"/>
    <w:rsid w:val="00F45B42"/>
    <w:rsid w:val="00F67C2D"/>
    <w:rsid w:val="00F7066A"/>
    <w:rsid w:val="00F800BB"/>
    <w:rsid w:val="00F82DD6"/>
    <w:rsid w:val="00FA074B"/>
    <w:rsid w:val="00FA1409"/>
    <w:rsid w:val="00FB1E4F"/>
    <w:rsid w:val="00FF3582"/>
    <w:rsid w:val="00FF61CA"/>
    <w:rsid w:val="0CCD460E"/>
    <w:rsid w:val="1444244B"/>
    <w:rsid w:val="14EA645D"/>
    <w:rsid w:val="19181A3A"/>
    <w:rsid w:val="1AFC3954"/>
    <w:rsid w:val="225D796E"/>
    <w:rsid w:val="24EC6623"/>
    <w:rsid w:val="2A813567"/>
    <w:rsid w:val="2BBD3669"/>
    <w:rsid w:val="2E16582B"/>
    <w:rsid w:val="2E4116FA"/>
    <w:rsid w:val="31262BAF"/>
    <w:rsid w:val="330F093A"/>
    <w:rsid w:val="34E37CA8"/>
    <w:rsid w:val="359E47FF"/>
    <w:rsid w:val="35B72FCB"/>
    <w:rsid w:val="35DA3E68"/>
    <w:rsid w:val="379A3E49"/>
    <w:rsid w:val="391E61C3"/>
    <w:rsid w:val="39AC3B35"/>
    <w:rsid w:val="416D2207"/>
    <w:rsid w:val="43EC12FF"/>
    <w:rsid w:val="44E509D4"/>
    <w:rsid w:val="4DC0511E"/>
    <w:rsid w:val="4FAC5BC3"/>
    <w:rsid w:val="4FC61FF0"/>
    <w:rsid w:val="50846203"/>
    <w:rsid w:val="538763B9"/>
    <w:rsid w:val="55DC546E"/>
    <w:rsid w:val="579C3951"/>
    <w:rsid w:val="57E37648"/>
    <w:rsid w:val="596D6B7C"/>
    <w:rsid w:val="5CEC747F"/>
    <w:rsid w:val="627E4DAA"/>
    <w:rsid w:val="66202ABE"/>
    <w:rsid w:val="66441755"/>
    <w:rsid w:val="66CF713B"/>
    <w:rsid w:val="68961ACE"/>
    <w:rsid w:val="6D9745DB"/>
    <w:rsid w:val="726141AB"/>
    <w:rsid w:val="7406451D"/>
    <w:rsid w:val="756A3232"/>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826</Words>
  <Characters>4712</Characters>
  <Lines>39</Lines>
  <Paragraphs>11</Paragraphs>
  <TotalTime>0</TotalTime>
  <ScaleCrop>false</ScaleCrop>
  <LinksUpToDate>false</LinksUpToDate>
  <CharactersWithSpaces>5527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2023-07-25T08:29:30Z</dcterms:modified>
  <dc:title>镇江海纳川物流产业发展有限责任公司</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