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20230810港口电仪材料采购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2023年8月17日下午2点整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2023年8月17日下午2点整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w:t>
      </w:r>
      <w:bookmarkStart w:id="0" w:name="_GoBack"/>
      <w:bookmarkEnd w:id="0"/>
      <w:r>
        <w:rPr>
          <w:rFonts w:hint="eastAsia" w:ascii="方正仿宋简体" w:hAnsi="方正仿宋简体" w:eastAsia="方正仿宋简体" w:cs="方正仿宋简体"/>
          <w:sz w:val="32"/>
          <w:szCs w:val="32"/>
          <w:u w:val="single"/>
        </w:rPr>
        <w:t>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hint="eastAsia"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6064"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412"/>
        <w:gridCol w:w="3260"/>
        <w:gridCol w:w="1422"/>
        <w:gridCol w:w="566"/>
        <w:gridCol w:w="568"/>
        <w:gridCol w:w="990"/>
        <w:gridCol w:w="957"/>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2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8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8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8" w:type="pct"/>
            <w:vAlign w:val="center"/>
          </w:tcPr>
          <w:p>
            <w:pPr>
              <w:jc w:val="center"/>
              <w:rPr>
                <w:rFonts w:ascii="宋体" w:hAnsi="宋体" w:cs="宋体"/>
                <w:color w:val="000000"/>
                <w:sz w:val="18"/>
                <w:szCs w:val="18"/>
              </w:rPr>
            </w:pPr>
            <w:r>
              <w:rPr>
                <w:rFonts w:hint="eastAsia"/>
                <w:color w:val="000000"/>
                <w:sz w:val="18"/>
                <w:szCs w:val="18"/>
              </w:rPr>
              <w:t>1</w:t>
            </w:r>
          </w:p>
        </w:tc>
        <w:tc>
          <w:tcPr>
            <w:tcW w:w="683" w:type="pct"/>
            <w:vAlign w:val="center"/>
          </w:tcPr>
          <w:p>
            <w:pPr>
              <w:rPr>
                <w:rFonts w:ascii="宋体" w:hAnsi="宋体" w:cs="宋体"/>
                <w:color w:val="000000"/>
                <w:sz w:val="18"/>
                <w:szCs w:val="18"/>
              </w:rPr>
            </w:pPr>
            <w:r>
              <w:rPr>
                <w:rFonts w:hint="eastAsia"/>
                <w:color w:val="000000"/>
                <w:sz w:val="18"/>
                <w:szCs w:val="18"/>
              </w:rPr>
              <w:t>通讯模块</w:t>
            </w:r>
          </w:p>
        </w:tc>
        <w:tc>
          <w:tcPr>
            <w:tcW w:w="1577" w:type="pct"/>
            <w:vAlign w:val="center"/>
          </w:tcPr>
          <w:p>
            <w:pPr>
              <w:rPr>
                <w:rFonts w:ascii="宋体" w:hAnsi="宋体" w:cs="宋体"/>
                <w:color w:val="000000"/>
                <w:sz w:val="18"/>
                <w:szCs w:val="18"/>
              </w:rPr>
            </w:pPr>
            <w:r>
              <w:rPr>
                <w:rFonts w:hint="eastAsia"/>
                <w:color w:val="000000"/>
                <w:sz w:val="18"/>
                <w:szCs w:val="18"/>
              </w:rPr>
              <w:t>　</w:t>
            </w:r>
          </w:p>
        </w:tc>
        <w:tc>
          <w:tcPr>
            <w:tcW w:w="687" w:type="pct"/>
            <w:vAlign w:val="center"/>
          </w:tcPr>
          <w:p>
            <w:pPr>
              <w:rPr>
                <w:rFonts w:ascii="宋体" w:hAnsi="宋体" w:cs="宋体"/>
                <w:color w:val="000000"/>
                <w:sz w:val="18"/>
                <w:szCs w:val="18"/>
              </w:rPr>
            </w:pPr>
            <w:r>
              <w:rPr>
                <w:rFonts w:hint="eastAsia"/>
                <w:color w:val="000000"/>
                <w:sz w:val="18"/>
                <w:szCs w:val="18"/>
              </w:rPr>
              <w:t>RPBA-01</w:t>
            </w:r>
          </w:p>
        </w:tc>
        <w:tc>
          <w:tcPr>
            <w:tcW w:w="274" w:type="pct"/>
            <w:vAlign w:val="center"/>
          </w:tcPr>
          <w:p>
            <w:pPr>
              <w:jc w:val="center"/>
              <w:rPr>
                <w:rFonts w:ascii="宋体" w:hAnsi="宋体" w:cs="宋体"/>
                <w:color w:val="000000"/>
                <w:sz w:val="18"/>
                <w:szCs w:val="18"/>
              </w:rPr>
            </w:pPr>
            <w:r>
              <w:rPr>
                <w:rFonts w:hint="eastAsia"/>
                <w:color w:val="000000"/>
                <w:sz w:val="18"/>
                <w:szCs w:val="18"/>
              </w:rPr>
              <w:t>只</w:t>
            </w:r>
          </w:p>
        </w:tc>
        <w:tc>
          <w:tcPr>
            <w:tcW w:w="275" w:type="pct"/>
            <w:vAlign w:val="center"/>
          </w:tcPr>
          <w:p>
            <w:pPr>
              <w:jc w:val="center"/>
              <w:rPr>
                <w:rFonts w:ascii="宋体" w:hAnsi="宋体" w:cs="宋体"/>
                <w:color w:val="000000"/>
                <w:sz w:val="20"/>
              </w:rPr>
            </w:pPr>
            <w:r>
              <w:rPr>
                <w:rFonts w:hint="eastAsia"/>
                <w:color w:val="000000"/>
                <w:sz w:val="20"/>
              </w:rPr>
              <w:t>6</w:t>
            </w:r>
          </w:p>
        </w:tc>
        <w:tc>
          <w:tcPr>
            <w:tcW w:w="4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6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8" w:type="pct"/>
            <w:vAlign w:val="center"/>
          </w:tcPr>
          <w:p>
            <w:pPr>
              <w:jc w:val="center"/>
              <w:rPr>
                <w:rFonts w:ascii="宋体" w:hAnsi="宋体" w:cs="宋体"/>
                <w:color w:val="000000"/>
                <w:sz w:val="18"/>
                <w:szCs w:val="18"/>
              </w:rPr>
            </w:pPr>
            <w:r>
              <w:rPr>
                <w:rFonts w:hint="eastAsia"/>
                <w:color w:val="000000"/>
                <w:sz w:val="18"/>
                <w:szCs w:val="18"/>
              </w:rPr>
              <w:t>2</w:t>
            </w:r>
          </w:p>
        </w:tc>
        <w:tc>
          <w:tcPr>
            <w:tcW w:w="683" w:type="pct"/>
            <w:vAlign w:val="center"/>
          </w:tcPr>
          <w:p>
            <w:pPr>
              <w:rPr>
                <w:rFonts w:ascii="宋体" w:hAnsi="宋体" w:cs="宋体"/>
                <w:color w:val="000000"/>
                <w:sz w:val="18"/>
                <w:szCs w:val="18"/>
              </w:rPr>
            </w:pPr>
            <w:r>
              <w:rPr>
                <w:rFonts w:hint="eastAsia"/>
                <w:color w:val="000000"/>
                <w:sz w:val="18"/>
                <w:szCs w:val="18"/>
              </w:rPr>
              <w:t>防爆对讲机</w:t>
            </w:r>
          </w:p>
        </w:tc>
        <w:tc>
          <w:tcPr>
            <w:tcW w:w="1577" w:type="pct"/>
            <w:vAlign w:val="center"/>
          </w:tcPr>
          <w:p>
            <w:pPr>
              <w:rPr>
                <w:rFonts w:ascii="宋体" w:hAnsi="宋体" w:cs="宋体"/>
                <w:color w:val="000000"/>
                <w:sz w:val="18"/>
                <w:szCs w:val="18"/>
              </w:rPr>
            </w:pPr>
            <w:r>
              <w:rPr>
                <w:rFonts w:hint="eastAsia"/>
                <w:color w:val="000000"/>
                <w:sz w:val="18"/>
                <w:szCs w:val="18"/>
              </w:rPr>
              <w:t>建伍 NX320 C2 防爆 含充电器、电池，无键盘</w:t>
            </w:r>
          </w:p>
        </w:tc>
        <w:tc>
          <w:tcPr>
            <w:tcW w:w="687" w:type="pct"/>
            <w:vAlign w:val="center"/>
          </w:tcPr>
          <w:p>
            <w:pPr>
              <w:rPr>
                <w:rFonts w:ascii="宋体" w:hAnsi="宋体" w:cs="宋体"/>
                <w:color w:val="000000"/>
                <w:sz w:val="18"/>
                <w:szCs w:val="18"/>
              </w:rPr>
            </w:pPr>
            <w:r>
              <w:rPr>
                <w:rFonts w:hint="eastAsia"/>
                <w:color w:val="000000"/>
                <w:sz w:val="18"/>
                <w:szCs w:val="18"/>
              </w:rPr>
              <w:t>NX320 C2</w:t>
            </w:r>
          </w:p>
        </w:tc>
        <w:tc>
          <w:tcPr>
            <w:tcW w:w="274" w:type="pct"/>
            <w:vAlign w:val="center"/>
          </w:tcPr>
          <w:p>
            <w:pPr>
              <w:jc w:val="center"/>
              <w:rPr>
                <w:rFonts w:ascii="宋体" w:hAnsi="宋体" w:cs="宋体"/>
                <w:color w:val="000000"/>
                <w:sz w:val="18"/>
                <w:szCs w:val="18"/>
              </w:rPr>
            </w:pPr>
            <w:r>
              <w:rPr>
                <w:rFonts w:hint="eastAsia"/>
                <w:color w:val="000000"/>
                <w:sz w:val="18"/>
                <w:szCs w:val="18"/>
              </w:rPr>
              <w:t>台</w:t>
            </w:r>
          </w:p>
        </w:tc>
        <w:tc>
          <w:tcPr>
            <w:tcW w:w="275" w:type="pct"/>
            <w:vAlign w:val="center"/>
          </w:tcPr>
          <w:p>
            <w:pPr>
              <w:jc w:val="center"/>
              <w:rPr>
                <w:rFonts w:ascii="宋体" w:hAnsi="宋体" w:cs="宋体"/>
                <w:color w:val="000000"/>
                <w:sz w:val="20"/>
              </w:rPr>
            </w:pPr>
            <w:r>
              <w:rPr>
                <w:rFonts w:hint="eastAsia"/>
                <w:color w:val="000000"/>
                <w:sz w:val="20"/>
              </w:rPr>
              <w:t>6</w:t>
            </w:r>
          </w:p>
        </w:tc>
        <w:tc>
          <w:tcPr>
            <w:tcW w:w="4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6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8" w:type="pct"/>
            <w:vAlign w:val="center"/>
          </w:tcPr>
          <w:p>
            <w:pPr>
              <w:jc w:val="center"/>
              <w:rPr>
                <w:rFonts w:ascii="宋体" w:hAnsi="宋体" w:cs="宋体"/>
                <w:color w:val="000000"/>
                <w:sz w:val="18"/>
                <w:szCs w:val="18"/>
              </w:rPr>
            </w:pPr>
            <w:r>
              <w:rPr>
                <w:rFonts w:hint="eastAsia"/>
                <w:color w:val="000000"/>
                <w:sz w:val="18"/>
                <w:szCs w:val="18"/>
              </w:rPr>
              <w:t>3</w:t>
            </w:r>
          </w:p>
        </w:tc>
        <w:tc>
          <w:tcPr>
            <w:tcW w:w="683" w:type="pct"/>
            <w:vAlign w:val="center"/>
          </w:tcPr>
          <w:p>
            <w:pPr>
              <w:rPr>
                <w:rFonts w:ascii="宋体" w:hAnsi="宋体" w:cs="宋体"/>
                <w:color w:val="000000"/>
                <w:sz w:val="18"/>
                <w:szCs w:val="18"/>
              </w:rPr>
            </w:pPr>
            <w:r>
              <w:rPr>
                <w:rFonts w:hint="eastAsia"/>
                <w:color w:val="000000"/>
                <w:sz w:val="18"/>
                <w:szCs w:val="18"/>
              </w:rPr>
              <w:t>防爆手动报警按钮</w:t>
            </w:r>
          </w:p>
        </w:tc>
        <w:tc>
          <w:tcPr>
            <w:tcW w:w="1577" w:type="pct"/>
            <w:vAlign w:val="center"/>
          </w:tcPr>
          <w:p>
            <w:pPr>
              <w:rPr>
                <w:rFonts w:ascii="宋体" w:hAnsi="宋体" w:cs="宋体"/>
                <w:color w:val="000000"/>
                <w:sz w:val="18"/>
                <w:szCs w:val="18"/>
              </w:rPr>
            </w:pPr>
            <w:r>
              <w:rPr>
                <w:rFonts w:hint="eastAsia"/>
                <w:color w:val="000000"/>
                <w:sz w:val="18"/>
                <w:szCs w:val="18"/>
              </w:rPr>
              <w:t>Exib</w:t>
            </w:r>
            <w:r>
              <w:rPr>
                <w:rFonts w:hint="eastAsia"/>
                <w:b/>
                <w:bCs/>
                <w:color w:val="000000"/>
                <w:sz w:val="18"/>
                <w:szCs w:val="18"/>
              </w:rPr>
              <w:t>llCT6</w:t>
            </w:r>
          </w:p>
        </w:tc>
        <w:tc>
          <w:tcPr>
            <w:tcW w:w="687" w:type="pct"/>
            <w:vAlign w:val="center"/>
          </w:tcPr>
          <w:p>
            <w:pPr>
              <w:rPr>
                <w:rFonts w:ascii="宋体" w:hAnsi="宋体" w:cs="宋体"/>
                <w:color w:val="000000"/>
                <w:sz w:val="18"/>
                <w:szCs w:val="18"/>
              </w:rPr>
            </w:pPr>
            <w:r>
              <w:rPr>
                <w:rFonts w:hint="eastAsia"/>
                <w:color w:val="000000"/>
                <w:sz w:val="18"/>
                <w:szCs w:val="18"/>
              </w:rPr>
              <w:t>GST9211A</w:t>
            </w:r>
          </w:p>
        </w:tc>
        <w:tc>
          <w:tcPr>
            <w:tcW w:w="274" w:type="pct"/>
            <w:vAlign w:val="center"/>
          </w:tcPr>
          <w:p>
            <w:pPr>
              <w:jc w:val="center"/>
              <w:rPr>
                <w:rFonts w:ascii="宋体" w:hAnsi="宋体" w:cs="宋体"/>
                <w:color w:val="000000"/>
                <w:sz w:val="18"/>
                <w:szCs w:val="18"/>
              </w:rPr>
            </w:pPr>
            <w:r>
              <w:rPr>
                <w:rFonts w:hint="eastAsia"/>
                <w:color w:val="000000"/>
                <w:sz w:val="18"/>
                <w:szCs w:val="18"/>
              </w:rPr>
              <w:t>只</w:t>
            </w:r>
          </w:p>
        </w:tc>
        <w:tc>
          <w:tcPr>
            <w:tcW w:w="275" w:type="pct"/>
            <w:vAlign w:val="center"/>
          </w:tcPr>
          <w:p>
            <w:pPr>
              <w:jc w:val="center"/>
              <w:rPr>
                <w:rFonts w:ascii="宋体" w:hAnsi="宋体" w:cs="宋体"/>
                <w:color w:val="000000"/>
                <w:sz w:val="20"/>
              </w:rPr>
            </w:pPr>
            <w:r>
              <w:rPr>
                <w:rFonts w:hint="eastAsia"/>
                <w:color w:val="000000"/>
                <w:sz w:val="20"/>
              </w:rPr>
              <w:t>30</w:t>
            </w:r>
          </w:p>
        </w:tc>
        <w:tc>
          <w:tcPr>
            <w:tcW w:w="4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6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8" w:type="pct"/>
            <w:vAlign w:val="center"/>
          </w:tcPr>
          <w:p>
            <w:pPr>
              <w:jc w:val="center"/>
              <w:rPr>
                <w:rFonts w:ascii="宋体" w:hAnsi="宋体" w:cs="宋体"/>
                <w:color w:val="000000"/>
                <w:sz w:val="18"/>
                <w:szCs w:val="18"/>
              </w:rPr>
            </w:pPr>
            <w:r>
              <w:rPr>
                <w:rFonts w:hint="eastAsia"/>
                <w:color w:val="000000"/>
                <w:sz w:val="18"/>
                <w:szCs w:val="18"/>
              </w:rPr>
              <w:t>4</w:t>
            </w:r>
          </w:p>
        </w:tc>
        <w:tc>
          <w:tcPr>
            <w:tcW w:w="683" w:type="pct"/>
            <w:vAlign w:val="center"/>
          </w:tcPr>
          <w:p>
            <w:pPr>
              <w:rPr>
                <w:rFonts w:ascii="宋体" w:hAnsi="宋体" w:cs="宋体"/>
                <w:color w:val="000000"/>
                <w:sz w:val="18"/>
                <w:szCs w:val="18"/>
              </w:rPr>
            </w:pPr>
            <w:r>
              <w:rPr>
                <w:rFonts w:hint="eastAsia"/>
                <w:color w:val="000000"/>
                <w:sz w:val="18"/>
                <w:szCs w:val="18"/>
              </w:rPr>
              <w:t>普通应急灯</w:t>
            </w:r>
          </w:p>
        </w:tc>
        <w:tc>
          <w:tcPr>
            <w:tcW w:w="1577" w:type="pct"/>
            <w:vAlign w:val="center"/>
          </w:tcPr>
          <w:p>
            <w:pPr>
              <w:rPr>
                <w:rFonts w:ascii="宋体" w:hAnsi="宋体" w:cs="宋体"/>
                <w:color w:val="000000"/>
                <w:sz w:val="18"/>
                <w:szCs w:val="18"/>
              </w:rPr>
            </w:pPr>
            <w:r>
              <w:rPr>
                <w:rFonts w:hint="eastAsia"/>
                <w:color w:val="000000"/>
                <w:sz w:val="18"/>
                <w:szCs w:val="18"/>
              </w:rPr>
              <w:t>额定电压220V 应急时间≥90分钟 挂墙式 防火塑料</w:t>
            </w:r>
          </w:p>
        </w:tc>
        <w:tc>
          <w:tcPr>
            <w:tcW w:w="687" w:type="pct"/>
            <w:vAlign w:val="center"/>
          </w:tcPr>
          <w:p>
            <w:pPr>
              <w:rPr>
                <w:rFonts w:ascii="宋体" w:hAnsi="宋体" w:cs="宋体"/>
                <w:color w:val="000000"/>
                <w:sz w:val="18"/>
                <w:szCs w:val="18"/>
              </w:rPr>
            </w:pPr>
            <w:r>
              <w:rPr>
                <w:rFonts w:hint="eastAsia"/>
                <w:color w:val="000000"/>
                <w:sz w:val="18"/>
                <w:szCs w:val="18"/>
              </w:rPr>
              <w:t>　</w:t>
            </w:r>
          </w:p>
        </w:tc>
        <w:tc>
          <w:tcPr>
            <w:tcW w:w="274" w:type="pct"/>
            <w:vAlign w:val="center"/>
          </w:tcPr>
          <w:p>
            <w:pPr>
              <w:jc w:val="center"/>
              <w:rPr>
                <w:rFonts w:ascii="宋体" w:hAnsi="宋体" w:cs="宋体"/>
                <w:color w:val="000000"/>
                <w:sz w:val="18"/>
                <w:szCs w:val="18"/>
              </w:rPr>
            </w:pPr>
            <w:r>
              <w:rPr>
                <w:rFonts w:hint="eastAsia"/>
                <w:color w:val="000000"/>
                <w:sz w:val="18"/>
                <w:szCs w:val="18"/>
              </w:rPr>
              <w:t>只</w:t>
            </w:r>
          </w:p>
        </w:tc>
        <w:tc>
          <w:tcPr>
            <w:tcW w:w="275" w:type="pct"/>
            <w:vAlign w:val="center"/>
          </w:tcPr>
          <w:p>
            <w:pPr>
              <w:jc w:val="center"/>
              <w:rPr>
                <w:rFonts w:ascii="宋体" w:hAnsi="宋体" w:cs="宋体"/>
                <w:color w:val="000000"/>
                <w:sz w:val="20"/>
              </w:rPr>
            </w:pPr>
            <w:r>
              <w:rPr>
                <w:rFonts w:hint="eastAsia"/>
                <w:color w:val="000000"/>
                <w:sz w:val="20"/>
              </w:rPr>
              <w:t>6</w:t>
            </w:r>
          </w:p>
        </w:tc>
        <w:tc>
          <w:tcPr>
            <w:tcW w:w="4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6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8" w:type="pct"/>
            <w:vAlign w:val="center"/>
          </w:tcPr>
          <w:p>
            <w:pPr>
              <w:jc w:val="center"/>
              <w:rPr>
                <w:rFonts w:ascii="宋体" w:hAnsi="宋体" w:cs="宋体"/>
                <w:color w:val="000000"/>
                <w:sz w:val="18"/>
                <w:szCs w:val="18"/>
              </w:rPr>
            </w:pPr>
            <w:r>
              <w:rPr>
                <w:rFonts w:hint="eastAsia"/>
                <w:color w:val="000000"/>
                <w:sz w:val="18"/>
                <w:szCs w:val="18"/>
              </w:rPr>
              <w:t>5</w:t>
            </w:r>
          </w:p>
        </w:tc>
        <w:tc>
          <w:tcPr>
            <w:tcW w:w="683" w:type="pct"/>
            <w:vAlign w:val="center"/>
          </w:tcPr>
          <w:p>
            <w:pPr>
              <w:rPr>
                <w:rFonts w:ascii="宋体" w:hAnsi="宋体" w:cs="宋体"/>
                <w:color w:val="000000"/>
                <w:sz w:val="18"/>
                <w:szCs w:val="18"/>
              </w:rPr>
            </w:pPr>
            <w:r>
              <w:rPr>
                <w:rFonts w:hint="eastAsia"/>
                <w:color w:val="000000"/>
                <w:sz w:val="18"/>
                <w:szCs w:val="18"/>
              </w:rPr>
              <w:t>不锈钢电动伸缩门</w:t>
            </w:r>
          </w:p>
        </w:tc>
        <w:tc>
          <w:tcPr>
            <w:tcW w:w="1577" w:type="pct"/>
            <w:vAlign w:val="center"/>
          </w:tcPr>
          <w:p>
            <w:pPr>
              <w:rPr>
                <w:rFonts w:ascii="宋体" w:hAnsi="宋体" w:cs="宋体"/>
                <w:color w:val="000000"/>
                <w:sz w:val="18"/>
                <w:szCs w:val="18"/>
              </w:rPr>
            </w:pPr>
            <w:r>
              <w:rPr>
                <w:rFonts w:hint="eastAsia"/>
                <w:color w:val="000000"/>
                <w:sz w:val="18"/>
                <w:szCs w:val="18"/>
              </w:rPr>
              <w:t xml:space="preserve">门体高度1600mm,门体底座宽度660mm，牵引极限14m 304 </w:t>
            </w:r>
            <w:r>
              <w:rPr>
                <w:rFonts w:hint="eastAsia"/>
                <w:color w:val="000000"/>
                <w:sz w:val="16"/>
                <w:szCs w:val="16"/>
              </w:rPr>
              <w:t>(</w:t>
            </w:r>
            <w:r>
              <w:rPr>
                <w:rFonts w:hint="eastAsia"/>
                <w:color w:val="FF0000"/>
                <w:sz w:val="16"/>
                <w:szCs w:val="16"/>
              </w:rPr>
              <w:t>不含安装</w:t>
            </w:r>
            <w:r>
              <w:rPr>
                <w:rFonts w:hint="eastAsia"/>
                <w:color w:val="000000"/>
                <w:sz w:val="16"/>
                <w:szCs w:val="16"/>
              </w:rPr>
              <w:t>）</w:t>
            </w:r>
          </w:p>
        </w:tc>
        <w:tc>
          <w:tcPr>
            <w:tcW w:w="687" w:type="pct"/>
            <w:vAlign w:val="center"/>
          </w:tcPr>
          <w:p>
            <w:pPr>
              <w:rPr>
                <w:rFonts w:ascii="宋体" w:hAnsi="宋体" w:cs="宋体"/>
                <w:color w:val="000000"/>
                <w:sz w:val="18"/>
                <w:szCs w:val="18"/>
              </w:rPr>
            </w:pPr>
            <w:r>
              <w:rPr>
                <w:rFonts w:hint="eastAsia"/>
                <w:color w:val="000000"/>
                <w:sz w:val="18"/>
                <w:szCs w:val="18"/>
              </w:rPr>
              <w:t>ADGL-ZL001</w:t>
            </w:r>
          </w:p>
        </w:tc>
        <w:tc>
          <w:tcPr>
            <w:tcW w:w="274" w:type="pct"/>
            <w:vAlign w:val="center"/>
          </w:tcPr>
          <w:p>
            <w:pPr>
              <w:jc w:val="center"/>
              <w:rPr>
                <w:rFonts w:ascii="宋体" w:hAnsi="宋体" w:cs="宋体"/>
                <w:color w:val="000000"/>
                <w:sz w:val="18"/>
                <w:szCs w:val="18"/>
              </w:rPr>
            </w:pPr>
            <w:r>
              <w:rPr>
                <w:rFonts w:hint="eastAsia"/>
                <w:color w:val="000000"/>
                <w:sz w:val="18"/>
                <w:szCs w:val="18"/>
              </w:rPr>
              <w:t>套</w:t>
            </w:r>
          </w:p>
        </w:tc>
        <w:tc>
          <w:tcPr>
            <w:tcW w:w="275" w:type="pct"/>
            <w:vAlign w:val="center"/>
          </w:tcPr>
          <w:p>
            <w:pPr>
              <w:jc w:val="center"/>
              <w:rPr>
                <w:rFonts w:ascii="宋体" w:hAnsi="宋体" w:cs="宋体"/>
                <w:color w:val="000000"/>
                <w:sz w:val="20"/>
              </w:rPr>
            </w:pPr>
            <w:r>
              <w:rPr>
                <w:rFonts w:hint="eastAsia"/>
                <w:color w:val="000000"/>
                <w:sz w:val="20"/>
              </w:rPr>
              <w:t>1</w:t>
            </w:r>
          </w:p>
        </w:tc>
        <w:tc>
          <w:tcPr>
            <w:tcW w:w="4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6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34"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176"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824"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1"/>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9</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420" w:firstLineChars="200"/>
        <w:jc w:val="cente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30F87"/>
    <w:rsid w:val="000310BC"/>
    <w:rsid w:val="0003693D"/>
    <w:rsid w:val="00063E06"/>
    <w:rsid w:val="000A22DB"/>
    <w:rsid w:val="000B2499"/>
    <w:rsid w:val="000C1845"/>
    <w:rsid w:val="000D348B"/>
    <w:rsid w:val="000D6A23"/>
    <w:rsid w:val="00103A8D"/>
    <w:rsid w:val="00115EEC"/>
    <w:rsid w:val="001260B7"/>
    <w:rsid w:val="00136B0D"/>
    <w:rsid w:val="00160290"/>
    <w:rsid w:val="00166793"/>
    <w:rsid w:val="0018234A"/>
    <w:rsid w:val="001915A1"/>
    <w:rsid w:val="00193418"/>
    <w:rsid w:val="00196EA5"/>
    <w:rsid w:val="001A7FE6"/>
    <w:rsid w:val="001B4C8E"/>
    <w:rsid w:val="001C3F61"/>
    <w:rsid w:val="001F16BE"/>
    <w:rsid w:val="001F212A"/>
    <w:rsid w:val="00210C67"/>
    <w:rsid w:val="002133E5"/>
    <w:rsid w:val="0024696A"/>
    <w:rsid w:val="002B3E65"/>
    <w:rsid w:val="002F51AC"/>
    <w:rsid w:val="002F66BD"/>
    <w:rsid w:val="0031037C"/>
    <w:rsid w:val="00313EBC"/>
    <w:rsid w:val="00325814"/>
    <w:rsid w:val="00331F42"/>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F5E27"/>
    <w:rsid w:val="005142FA"/>
    <w:rsid w:val="00527733"/>
    <w:rsid w:val="0053268D"/>
    <w:rsid w:val="00560EB5"/>
    <w:rsid w:val="005633CB"/>
    <w:rsid w:val="005D4F71"/>
    <w:rsid w:val="0061433F"/>
    <w:rsid w:val="006545BB"/>
    <w:rsid w:val="006734DC"/>
    <w:rsid w:val="006835A9"/>
    <w:rsid w:val="00693CB5"/>
    <w:rsid w:val="006C09FB"/>
    <w:rsid w:val="006D00BD"/>
    <w:rsid w:val="006D3CEC"/>
    <w:rsid w:val="006D5E62"/>
    <w:rsid w:val="0070428B"/>
    <w:rsid w:val="00711ACD"/>
    <w:rsid w:val="00724955"/>
    <w:rsid w:val="007254B5"/>
    <w:rsid w:val="00753CD1"/>
    <w:rsid w:val="00781AF0"/>
    <w:rsid w:val="00786EDE"/>
    <w:rsid w:val="007875CD"/>
    <w:rsid w:val="007D12CA"/>
    <w:rsid w:val="007D630F"/>
    <w:rsid w:val="007E0D6B"/>
    <w:rsid w:val="007E6E47"/>
    <w:rsid w:val="00823974"/>
    <w:rsid w:val="0083404A"/>
    <w:rsid w:val="00842B41"/>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47E98"/>
    <w:rsid w:val="00A63D7F"/>
    <w:rsid w:val="00A7381A"/>
    <w:rsid w:val="00A81560"/>
    <w:rsid w:val="00AB6095"/>
    <w:rsid w:val="00AC569D"/>
    <w:rsid w:val="00AF29F9"/>
    <w:rsid w:val="00B01341"/>
    <w:rsid w:val="00B0144D"/>
    <w:rsid w:val="00B353E5"/>
    <w:rsid w:val="00B51C96"/>
    <w:rsid w:val="00B63039"/>
    <w:rsid w:val="00B7406B"/>
    <w:rsid w:val="00B74619"/>
    <w:rsid w:val="00B82A10"/>
    <w:rsid w:val="00B82CED"/>
    <w:rsid w:val="00BD78FB"/>
    <w:rsid w:val="00BF2809"/>
    <w:rsid w:val="00C258E8"/>
    <w:rsid w:val="00C31E40"/>
    <w:rsid w:val="00C41533"/>
    <w:rsid w:val="00C56465"/>
    <w:rsid w:val="00C743A3"/>
    <w:rsid w:val="00C97E7F"/>
    <w:rsid w:val="00D24639"/>
    <w:rsid w:val="00D32CC0"/>
    <w:rsid w:val="00D74586"/>
    <w:rsid w:val="00DA002C"/>
    <w:rsid w:val="00DD194E"/>
    <w:rsid w:val="00DD7DB9"/>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F1217"/>
    <w:rsid w:val="00FF61CA"/>
    <w:rsid w:val="09E67744"/>
    <w:rsid w:val="0CCD460E"/>
    <w:rsid w:val="11E467E9"/>
    <w:rsid w:val="1444244B"/>
    <w:rsid w:val="14EA645D"/>
    <w:rsid w:val="19181A3A"/>
    <w:rsid w:val="225D796E"/>
    <w:rsid w:val="24EC6623"/>
    <w:rsid w:val="2A98798D"/>
    <w:rsid w:val="2BBD3669"/>
    <w:rsid w:val="2E16582B"/>
    <w:rsid w:val="2E4116FA"/>
    <w:rsid w:val="31262BAF"/>
    <w:rsid w:val="330F093A"/>
    <w:rsid w:val="34E37CA8"/>
    <w:rsid w:val="359E47FF"/>
    <w:rsid w:val="35B72FCB"/>
    <w:rsid w:val="35DA3E68"/>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AFE7F00"/>
    <w:rsid w:val="5CEC747F"/>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3"/>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1191</Words>
  <Characters>6790</Characters>
  <Lines>56</Lines>
  <Paragraphs>15</Paragraphs>
  <TotalTime>0</TotalTime>
  <ScaleCrop>false</ScaleCrop>
  <LinksUpToDate>false</LinksUpToDate>
  <CharactersWithSpaces>7966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2023-07-10T01:32:00Z</cp:lastPrinted>
  <dcterms:modified xsi:type="dcterms:W3CDTF">2023-08-10T08:14:18Z</dcterms:modified>
  <dc:title>镇江海纳川物流产业发展有限责任公司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