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32"/>
          <w:sz w:val="32"/>
          <w:szCs w:val="32"/>
          <w:u w:val="single"/>
        </w:rPr>
        <w:t>港口</w:t>
      </w:r>
      <w:r>
        <w:rPr>
          <w:rFonts w:ascii="方正仿宋简体" w:hAnsi="仿宋_GB2312" w:eastAsia="方正仿宋简体" w:cs="仿宋_GB2312"/>
          <w:kern w:val="32"/>
          <w:sz w:val="32"/>
          <w:szCs w:val="32"/>
          <w:u w:val="single"/>
        </w:rPr>
        <w:t>4</w:t>
      </w:r>
      <w:r>
        <w:rPr>
          <w:rFonts w:hint="eastAsia" w:ascii="方正仿宋简体" w:hAnsi="仿宋_GB2312" w:eastAsia="方正仿宋简体" w:cs="仿宋_GB2312"/>
          <w:kern w:val="32"/>
          <w:sz w:val="32"/>
          <w:szCs w:val="32"/>
          <w:u w:val="single"/>
        </w:rPr>
        <w:t>台气动球阀维修保养招标</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仿宋_GB2312" w:eastAsia="方正仿宋简体" w:cs="仿宋_GB2312"/>
          <w:kern w:val="32"/>
          <w:sz w:val="32"/>
          <w:szCs w:val="32"/>
          <w:u w:val="single"/>
        </w:rPr>
        <w:t>合同签订后5天内</w:t>
      </w:r>
      <w:r>
        <w:rPr>
          <w:rFonts w:hint="eastAsia" w:ascii="方正仿宋简体" w:hAnsi="方正仿宋简体" w:eastAsia="方正仿宋简体" w:cs="方正仿宋简体"/>
          <w:sz w:val="32"/>
          <w:szCs w:val="32"/>
        </w:rPr>
        <w:t>；</w:t>
      </w:r>
    </w:p>
    <w:p>
      <w:pPr>
        <w:pStyle w:val="3"/>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0"/>
          <w:szCs w:val="30"/>
          <w:u w:val="single"/>
        </w:rPr>
        <w:t>镇江海纳川物流产业发展有限责任公司；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2023年8月29日上午10点整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2023年8月29日上午10点整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eastAsia="仿宋_GB2312"/>
        </w:rPr>
      </w:pPr>
      <w:r>
        <w:rPr>
          <w:rFonts w:hint="eastAsia" w:ascii="方正仿宋简体" w:hAnsi="方正仿宋简体" w:eastAsia="方正仿宋简体" w:cs="方正仿宋简体"/>
          <w:sz w:val="32"/>
          <w:szCs w:val="32"/>
        </w:rPr>
        <w:t>（一）标的物内容</w:t>
      </w:r>
      <w:r>
        <w:rPr>
          <w:rFonts w:hint="eastAsia" w:ascii="方正仿宋简体" w:hAnsi="方正仿宋简体" w:eastAsia="方正仿宋简体" w:cs="方正仿宋简体"/>
          <w:sz w:val="32"/>
          <w:szCs w:val="32"/>
          <w:lang w:eastAsia="zh-CN"/>
        </w:rPr>
        <w:t>：</w:t>
      </w:r>
      <w:r>
        <w:rPr>
          <w:rFonts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rPr>
        <w:t>台气动阀维修保养。</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spacing w:line="360" w:lineRule="auto"/>
        <w:ind w:firstLine="640" w:firstLineChars="200"/>
        <w:jc w:val="left"/>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工作量清单</w:t>
      </w:r>
    </w:p>
    <w:tbl>
      <w:tblPr>
        <w:tblStyle w:val="13"/>
        <w:tblW w:w="8647" w:type="dxa"/>
        <w:tblInd w:w="108" w:type="dxa"/>
        <w:tblLayout w:type="fixed"/>
        <w:tblCellMar>
          <w:top w:w="0" w:type="dxa"/>
          <w:left w:w="108" w:type="dxa"/>
          <w:bottom w:w="0" w:type="dxa"/>
          <w:right w:w="108" w:type="dxa"/>
        </w:tblCellMar>
      </w:tblPr>
      <w:tblGrid>
        <w:gridCol w:w="851"/>
        <w:gridCol w:w="1417"/>
        <w:gridCol w:w="993"/>
        <w:gridCol w:w="1417"/>
        <w:gridCol w:w="992"/>
        <w:gridCol w:w="2977"/>
      </w:tblGrid>
      <w:tr>
        <w:tblPrEx>
          <w:tblCellMar>
            <w:top w:w="0" w:type="dxa"/>
            <w:left w:w="108" w:type="dxa"/>
            <w:bottom w:w="0" w:type="dxa"/>
            <w:right w:w="108" w:type="dxa"/>
          </w:tblCellMar>
        </w:tblPrEx>
        <w:trPr>
          <w:trHeight w:val="482"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141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阀门名称</w:t>
            </w:r>
          </w:p>
        </w:tc>
        <w:tc>
          <w:tcPr>
            <w:tcW w:w="99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介质</w:t>
            </w:r>
          </w:p>
        </w:tc>
        <w:tc>
          <w:tcPr>
            <w:tcW w:w="141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规格型号</w:t>
            </w:r>
          </w:p>
        </w:tc>
        <w:tc>
          <w:tcPr>
            <w:tcW w:w="99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数量</w:t>
            </w:r>
          </w:p>
        </w:tc>
        <w:tc>
          <w:tcPr>
            <w:tcW w:w="2977" w:type="dxa"/>
            <w:tcBorders>
              <w:top w:val="single" w:color="000000" w:sz="8" w:space="0"/>
              <w:left w:val="nil"/>
              <w:bottom w:val="single" w:color="auto"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维修保养内容</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41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气动球阀</w:t>
            </w:r>
          </w:p>
        </w:tc>
        <w:tc>
          <w:tcPr>
            <w:tcW w:w="99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醋酸</w:t>
            </w:r>
          </w:p>
        </w:tc>
        <w:tc>
          <w:tcPr>
            <w:tcW w:w="141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DN80</w:t>
            </w:r>
          </w:p>
        </w:tc>
        <w:tc>
          <w:tcPr>
            <w:tcW w:w="9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1台</w:t>
            </w:r>
          </w:p>
        </w:tc>
        <w:tc>
          <w:tcPr>
            <w:tcW w:w="2977" w:type="dxa"/>
            <w:tcBorders>
              <w:top w:val="single" w:color="auto" w:sz="4" w:space="0"/>
              <w:left w:val="nil"/>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详见醋酸气动球阀维修保养内容</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41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气动球阀</w:t>
            </w:r>
          </w:p>
        </w:tc>
        <w:tc>
          <w:tcPr>
            <w:tcW w:w="99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醋酸</w:t>
            </w:r>
          </w:p>
        </w:tc>
        <w:tc>
          <w:tcPr>
            <w:tcW w:w="141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DN80</w:t>
            </w:r>
          </w:p>
        </w:tc>
        <w:tc>
          <w:tcPr>
            <w:tcW w:w="9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1台</w:t>
            </w:r>
          </w:p>
        </w:tc>
        <w:tc>
          <w:tcPr>
            <w:tcW w:w="2977" w:type="dxa"/>
            <w:tcBorders>
              <w:top w:val="single" w:color="auto" w:sz="4" w:space="0"/>
              <w:left w:val="nil"/>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详见醋酸气动球阀维修保养内容</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141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衬氟气动球阀</w:t>
            </w:r>
          </w:p>
        </w:tc>
        <w:tc>
          <w:tcPr>
            <w:tcW w:w="99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硫酸</w:t>
            </w:r>
          </w:p>
        </w:tc>
        <w:tc>
          <w:tcPr>
            <w:tcW w:w="141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DN100</w:t>
            </w:r>
          </w:p>
        </w:tc>
        <w:tc>
          <w:tcPr>
            <w:tcW w:w="9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1台</w:t>
            </w:r>
          </w:p>
        </w:tc>
        <w:tc>
          <w:tcPr>
            <w:tcW w:w="2977" w:type="dxa"/>
            <w:tcBorders>
              <w:top w:val="nil"/>
              <w:left w:val="nil"/>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详见硫酸衬氟气动球阀维修保养清单</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141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衬氟气动球阀</w:t>
            </w:r>
          </w:p>
        </w:tc>
        <w:tc>
          <w:tcPr>
            <w:tcW w:w="99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硫酸</w:t>
            </w:r>
          </w:p>
        </w:tc>
        <w:tc>
          <w:tcPr>
            <w:tcW w:w="141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DN250</w:t>
            </w:r>
          </w:p>
        </w:tc>
        <w:tc>
          <w:tcPr>
            <w:tcW w:w="9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1台</w:t>
            </w:r>
          </w:p>
        </w:tc>
        <w:tc>
          <w:tcPr>
            <w:tcW w:w="2977" w:type="dxa"/>
            <w:tcBorders>
              <w:top w:val="nil"/>
              <w:left w:val="nil"/>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详见硫酸衬氟气动球阀维修保养清单</w:t>
            </w:r>
          </w:p>
        </w:tc>
      </w:tr>
    </w:tbl>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方正仿宋简体" w:hAnsi="方正仿宋简体" w:eastAsia="方正仿宋简体" w:cs="方正仿宋简体"/>
          <w:sz w:val="32"/>
          <w:szCs w:val="32"/>
        </w:rPr>
        <w:t>醋酸气动球阀维修保养内容（单台工作量）</w:t>
      </w:r>
    </w:p>
    <w:tbl>
      <w:tblPr>
        <w:tblStyle w:val="14"/>
        <w:tblW w:w="7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935"/>
        <w:gridCol w:w="1275"/>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名称</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数量</w:t>
            </w:r>
          </w:p>
        </w:tc>
        <w:tc>
          <w:tcPr>
            <w:tcW w:w="3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维修项目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缸体</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检查、保养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活塞</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3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检查、保养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O型环</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3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寻向环</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3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活塞瓦</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3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导向轴</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检查、保养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端盖</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3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阀位反馈</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电磁阀</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 xml:space="preserve">更换（ASCO/NORGREN/PG）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阀体</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3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检查、保养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阀座（密封）</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13</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阀芯</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3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检查、保养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14</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阀杆</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检查、保养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15</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填料</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16</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气动二联件</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更换</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硫酸衬氟气动球阀维修保养内容（单台工作量）</w:t>
      </w:r>
    </w:p>
    <w:tbl>
      <w:tblPr>
        <w:tblStyle w:val="14"/>
        <w:tblW w:w="45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1937"/>
        <w:gridCol w:w="1277"/>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1247"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名称</w:t>
            </w:r>
          </w:p>
        </w:tc>
        <w:tc>
          <w:tcPr>
            <w:tcW w:w="8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数量</w:t>
            </w:r>
          </w:p>
        </w:tc>
        <w:tc>
          <w:tcPr>
            <w:tcW w:w="20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维修项目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247"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缸体</w:t>
            </w:r>
          </w:p>
        </w:tc>
        <w:tc>
          <w:tcPr>
            <w:tcW w:w="8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0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检查、保养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47"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活塞</w:t>
            </w:r>
          </w:p>
        </w:tc>
        <w:tc>
          <w:tcPr>
            <w:tcW w:w="8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20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检查、保养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1247"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O型环</w:t>
            </w:r>
          </w:p>
        </w:tc>
        <w:tc>
          <w:tcPr>
            <w:tcW w:w="8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20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1247"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寻向环</w:t>
            </w:r>
          </w:p>
        </w:tc>
        <w:tc>
          <w:tcPr>
            <w:tcW w:w="8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20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检查、保养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1247"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活塞瓦</w:t>
            </w:r>
          </w:p>
        </w:tc>
        <w:tc>
          <w:tcPr>
            <w:tcW w:w="8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20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检查、保养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1247"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导向轴</w:t>
            </w:r>
          </w:p>
        </w:tc>
        <w:tc>
          <w:tcPr>
            <w:tcW w:w="8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0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检查、保养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1247"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端盖</w:t>
            </w:r>
          </w:p>
        </w:tc>
        <w:tc>
          <w:tcPr>
            <w:tcW w:w="8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20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检查、保养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1247"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阀位反馈</w:t>
            </w:r>
          </w:p>
        </w:tc>
        <w:tc>
          <w:tcPr>
            <w:tcW w:w="8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0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1247"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电磁阀</w:t>
            </w:r>
          </w:p>
        </w:tc>
        <w:tc>
          <w:tcPr>
            <w:tcW w:w="8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0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1247"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衬氟阀体</w:t>
            </w:r>
          </w:p>
        </w:tc>
        <w:tc>
          <w:tcPr>
            <w:tcW w:w="8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0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1247"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 xml:space="preserve">衬氟球 </w:t>
            </w:r>
          </w:p>
        </w:tc>
        <w:tc>
          <w:tcPr>
            <w:tcW w:w="8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0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12</w:t>
            </w:r>
          </w:p>
        </w:tc>
        <w:tc>
          <w:tcPr>
            <w:tcW w:w="1247"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填料</w:t>
            </w:r>
          </w:p>
        </w:tc>
        <w:tc>
          <w:tcPr>
            <w:tcW w:w="8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0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更换</w:t>
            </w:r>
          </w:p>
        </w:tc>
      </w:tr>
    </w:tbl>
    <w:p>
      <w:pPr>
        <w:spacing w:line="360" w:lineRule="auto"/>
        <w:ind w:firstLine="640" w:firstLineChars="200"/>
        <w:jc w:val="left"/>
        <w:rPr>
          <w:rFonts w:ascii="方正仿宋简体" w:hAnsi="仿宋_GB2312" w:eastAsia="方正仿宋简体" w:cs="仿宋_GB2312"/>
          <w:kern w:val="0"/>
          <w:sz w:val="32"/>
          <w:szCs w:val="32"/>
        </w:rPr>
      </w:pPr>
      <w:r>
        <w:rPr>
          <w:rFonts w:ascii="方正仿宋简体" w:hAnsi="仿宋_GB2312" w:eastAsia="方正仿宋简体" w:cs="仿宋_GB2312"/>
          <w:sz w:val="32"/>
          <w:szCs w:val="32"/>
        </w:rPr>
        <w:t>4</w:t>
      </w:r>
      <w:r>
        <w:rPr>
          <w:rFonts w:hint="eastAsia" w:ascii="方正仿宋简体" w:hAnsi="仿宋_GB2312" w:eastAsia="方正仿宋简体" w:cs="仿宋_GB2312"/>
          <w:sz w:val="32"/>
          <w:szCs w:val="32"/>
        </w:rPr>
        <w:t>台</w:t>
      </w:r>
      <w:r>
        <w:rPr>
          <w:rFonts w:ascii="方正仿宋简体" w:hAnsi="仿宋_GB2312" w:eastAsia="方正仿宋简体" w:cs="仿宋_GB2312"/>
          <w:sz w:val="32"/>
          <w:szCs w:val="32"/>
        </w:rPr>
        <w:t>气动阀门</w:t>
      </w:r>
      <w:r>
        <w:rPr>
          <w:rFonts w:hint="eastAsia" w:ascii="方正仿宋简体" w:hAnsi="仿宋_GB2312" w:eastAsia="方正仿宋简体" w:cs="仿宋_GB2312"/>
          <w:sz w:val="32"/>
          <w:szCs w:val="32"/>
        </w:rPr>
        <w:t>由中</w:t>
      </w:r>
      <w:r>
        <w:rPr>
          <w:rFonts w:ascii="方正仿宋简体" w:hAnsi="仿宋_GB2312" w:eastAsia="方正仿宋简体" w:cs="仿宋_GB2312"/>
          <w:sz w:val="32"/>
          <w:szCs w:val="32"/>
        </w:rPr>
        <w:t>标单位</w:t>
      </w:r>
      <w:r>
        <w:rPr>
          <w:rFonts w:hint="eastAsia" w:ascii="方正仿宋简体" w:hAnsi="仿宋_GB2312" w:eastAsia="方正仿宋简体" w:cs="仿宋_GB2312"/>
          <w:sz w:val="32"/>
          <w:szCs w:val="32"/>
        </w:rPr>
        <w:t>从招标方</w:t>
      </w:r>
      <w:r>
        <w:rPr>
          <w:rFonts w:ascii="方正仿宋简体" w:hAnsi="仿宋_GB2312" w:eastAsia="方正仿宋简体" w:cs="仿宋_GB2312"/>
          <w:sz w:val="32"/>
          <w:szCs w:val="32"/>
        </w:rPr>
        <w:t>现场运输</w:t>
      </w:r>
      <w:r>
        <w:rPr>
          <w:rFonts w:hint="eastAsia" w:ascii="方正仿宋简体" w:hAnsi="仿宋_GB2312" w:eastAsia="方正仿宋简体" w:cs="仿宋_GB2312"/>
          <w:sz w:val="32"/>
          <w:szCs w:val="32"/>
        </w:rPr>
        <w:t>至</w:t>
      </w:r>
      <w:r>
        <w:rPr>
          <w:rFonts w:ascii="方正仿宋简体" w:hAnsi="仿宋_GB2312" w:eastAsia="方正仿宋简体" w:cs="仿宋_GB2312"/>
          <w:sz w:val="32"/>
          <w:szCs w:val="32"/>
        </w:rPr>
        <w:t>维修工厂，维修完成后送至招标方现场。</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2</w:t>
      </w:r>
      <w:r>
        <w:rPr>
          <w:rFonts w:hint="eastAsia" w:ascii="方正仿宋简体" w:hAnsi="仿宋_GB2312" w:eastAsia="方正仿宋简体" w:cs="仿宋_GB2312"/>
          <w:kern w:val="1"/>
          <w:sz w:val="32"/>
          <w:szCs w:val="32"/>
        </w:rPr>
        <w:t>.</w:t>
      </w:r>
      <w:r>
        <w:rPr>
          <w:rFonts w:ascii="方正仿宋简体" w:hAnsi="仿宋_GB2312" w:eastAsia="方正仿宋简体" w:cs="仿宋_GB2312"/>
          <w:kern w:val="1"/>
          <w:sz w:val="32"/>
          <w:szCs w:val="32"/>
        </w:rPr>
        <w:t xml:space="preserve"> </w:t>
      </w:r>
      <w:r>
        <w:rPr>
          <w:rFonts w:hint="eastAsia" w:ascii="方正仿宋简体" w:hAnsi="仿宋_GB2312" w:eastAsia="方正仿宋简体" w:cs="仿宋_GB2312"/>
          <w:kern w:val="1"/>
          <w:sz w:val="32"/>
          <w:szCs w:val="32"/>
        </w:rPr>
        <w:t>维修要求：</w:t>
      </w:r>
    </w:p>
    <w:p>
      <w:pPr>
        <w:tabs>
          <w:tab w:val="left" w:pos="180"/>
        </w:tabs>
        <w:wordWrap w:val="0"/>
        <w:spacing w:line="360" w:lineRule="auto"/>
        <w:ind w:firstLine="640" w:firstLineChars="200"/>
        <w:jc w:val="left"/>
        <w:rPr>
          <w:rFonts w:ascii="方正仿宋简体" w:eastAsia="方正仿宋简体"/>
          <w:sz w:val="32"/>
        </w:rPr>
      </w:pPr>
      <w:r>
        <w:rPr>
          <w:rFonts w:ascii="方正仿宋简体" w:hAnsi="仿宋_GB2312" w:eastAsia="方正仿宋简体" w:cs="仿宋_GB2312"/>
          <w:kern w:val="1"/>
          <w:sz w:val="32"/>
          <w:szCs w:val="32"/>
        </w:rPr>
        <w:t>2.1</w:t>
      </w:r>
      <w:r>
        <w:rPr>
          <w:rFonts w:ascii="方正仿宋简体" w:eastAsia="方正仿宋简体"/>
          <w:sz w:val="32"/>
        </w:rPr>
        <w:t xml:space="preserve">  </w:t>
      </w:r>
      <w:r>
        <w:rPr>
          <w:rFonts w:hint="eastAsia" w:ascii="方正仿宋简体" w:eastAsia="方正仿宋简体"/>
          <w:sz w:val="32"/>
        </w:rPr>
        <w:t>维修</w:t>
      </w:r>
      <w:r>
        <w:rPr>
          <w:rFonts w:ascii="方正仿宋简体" w:eastAsia="方正仿宋简体"/>
          <w:sz w:val="32"/>
        </w:rPr>
        <w:t>后的气动阀应在</w:t>
      </w:r>
      <w:r>
        <w:rPr>
          <w:rFonts w:hint="eastAsia" w:ascii="方正仿宋简体" w:eastAsia="方正仿宋简体"/>
          <w:sz w:val="32"/>
        </w:rPr>
        <w:t>不</w:t>
      </w:r>
      <w:r>
        <w:rPr>
          <w:rFonts w:ascii="方正仿宋简体" w:eastAsia="方正仿宋简体"/>
          <w:sz w:val="32"/>
        </w:rPr>
        <w:t>小于</w:t>
      </w:r>
      <w:r>
        <w:rPr>
          <w:rFonts w:hint="eastAsia" w:ascii="方正仿宋简体" w:eastAsia="方正仿宋简体"/>
          <w:sz w:val="32"/>
        </w:rPr>
        <w:t>0.35MPA气源时</w:t>
      </w:r>
      <w:r>
        <w:rPr>
          <w:rFonts w:ascii="方正仿宋简体" w:eastAsia="方正仿宋简体"/>
          <w:sz w:val="32"/>
        </w:rPr>
        <w:t>动作灵活，无异响。</w:t>
      </w:r>
    </w:p>
    <w:p>
      <w:pPr>
        <w:tabs>
          <w:tab w:val="left" w:pos="180"/>
        </w:tabs>
        <w:wordWrap w:val="0"/>
        <w:spacing w:line="360" w:lineRule="auto"/>
        <w:ind w:firstLine="640" w:firstLineChars="200"/>
        <w:jc w:val="left"/>
        <w:rPr>
          <w:rFonts w:ascii="方正仿宋简体" w:eastAsia="方正仿宋简体"/>
          <w:sz w:val="32"/>
        </w:rPr>
      </w:pPr>
      <w:r>
        <w:rPr>
          <w:rFonts w:ascii="方正仿宋简体" w:eastAsia="方正仿宋简体"/>
          <w:sz w:val="32"/>
        </w:rPr>
        <w:t>2.2</w:t>
      </w:r>
      <w:r>
        <w:rPr>
          <w:rFonts w:hint="eastAsia" w:ascii="方正仿宋简体" w:eastAsia="方正仿宋简体"/>
          <w:sz w:val="32"/>
        </w:rPr>
        <w:t>维修后阀门需重新</w:t>
      </w:r>
      <w:r>
        <w:rPr>
          <w:rFonts w:ascii="方正仿宋简体" w:eastAsia="方正仿宋简体"/>
          <w:sz w:val="32"/>
        </w:rPr>
        <w:t>油漆，气缸及气源管无漏气</w:t>
      </w:r>
      <w:r>
        <w:rPr>
          <w:rFonts w:hint="eastAsia" w:ascii="方正仿宋简体" w:eastAsia="方正仿宋简体"/>
          <w:sz w:val="32"/>
        </w:rPr>
        <w:t>现象</w:t>
      </w:r>
      <w:r>
        <w:rPr>
          <w:rFonts w:ascii="方正仿宋简体" w:eastAsia="方正仿宋简体"/>
          <w:sz w:val="32"/>
        </w:rPr>
        <w:t>。</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3</w:t>
      </w:r>
      <w:r>
        <w:rPr>
          <w:rFonts w:hint="eastAsia" w:ascii="方正仿宋简体" w:hAnsi="仿宋_GB2312" w:eastAsia="方正仿宋简体" w:cs="仿宋_GB2312"/>
          <w:kern w:val="1"/>
          <w:sz w:val="32"/>
          <w:szCs w:val="32"/>
        </w:rPr>
        <w:t>.质量要求及技术标准：符合《工业阀门安装使用维护一般要求》GB/T 24919，《自动化仪表工程施工及质量验收规范》GB 50093，《阀门的检验和试验》GB/T 26480-2011。</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4</w:t>
      </w:r>
      <w:r>
        <w:rPr>
          <w:rFonts w:hint="eastAsia" w:ascii="方正仿宋简体" w:hAnsi="仿宋_GB2312" w:eastAsia="方正仿宋简体" w:cs="仿宋_GB2312"/>
          <w:kern w:val="1"/>
          <w:sz w:val="32"/>
          <w:szCs w:val="32"/>
        </w:rPr>
        <w:t>.工程报价为含税价，请注明税率。</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wordWrap w:val="0"/>
        <w:adjustRightInd w:val="0"/>
        <w:snapToGrid w:val="0"/>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kern w:val="1"/>
          <w:sz w:val="32"/>
          <w:szCs w:val="32"/>
        </w:rPr>
        <w:t>营业执照（业务范围：工业自动控制系统装置制造或维修、阀门制造或维修等）（以上资格证明证件均可提供复印件，但需加盖公章）。</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.不接受被列入失信被执行人、重大违法案件当事人投标。</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u w:val="single"/>
        </w:rPr>
        <w:t xml:space="preserve">10 </w:t>
      </w:r>
      <w:r>
        <w:rPr>
          <w:rFonts w:hint="eastAsia" w:ascii="方正仿宋简体" w:hAnsi="方正仿宋简体" w:eastAsia="方正仿宋简体" w:cs="方正仿宋简体"/>
          <w:kern w:val="1"/>
          <w:sz w:val="32"/>
          <w:szCs w:val="32"/>
        </w:rPr>
        <w:t>分钟内必须给予回复，明确解决方案，必要时需来我公司作技术指导。</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1.招标人会组织有意向投标人踏勘项目现场。</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2.招标人在踏勘现场介绍</w:t>
      </w:r>
      <w:r>
        <w:rPr>
          <w:rFonts w:ascii="方正仿宋简体" w:hAnsi="仿宋_GB2312" w:eastAsia="方正仿宋简体" w:cs="仿宋_GB2312"/>
          <w:sz w:val="32"/>
          <w:szCs w:val="32"/>
        </w:rPr>
        <w:t>阀门状况</w:t>
      </w:r>
      <w:r>
        <w:rPr>
          <w:rFonts w:hint="eastAsia" w:ascii="方正仿宋简体" w:hAnsi="仿宋_GB2312" w:eastAsia="方正仿宋简体" w:cs="仿宋_GB2312"/>
          <w:sz w:val="32"/>
          <w:szCs w:val="32"/>
        </w:rPr>
        <w:t>供投标人在编制投标文件时参考，招标人不对投标人据此作出的判断和决策负责。</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3.建议投标人员到作业现场进行踏勘，对未踏勘造成的一切后果由投标人自行承担，现场踏勘不作为投标资格的必要条件。</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付款方式：维修</w:t>
      </w:r>
      <w:r>
        <w:rPr>
          <w:rFonts w:hint="eastAsia" w:ascii="方正仿宋简体" w:hAnsi="仿宋_GB2312" w:eastAsia="方正仿宋简体" w:cs="仿宋_GB2312"/>
          <w:kern w:val="1"/>
          <w:sz w:val="32"/>
          <w:szCs w:val="32"/>
        </w:rPr>
        <w:t>项目验收合格后，中标方根据招标方提供的审计认定单开具增值税发票，招标方在收到发票后</w:t>
      </w:r>
      <w:r>
        <w:rPr>
          <w:rFonts w:hint="eastAsia" w:ascii="方正仿宋简体" w:hAnsi="Calibri" w:eastAsia="方正仿宋简体" w:cs="Calibri"/>
          <w:kern w:val="1"/>
          <w:sz w:val="32"/>
          <w:szCs w:val="32"/>
        </w:rPr>
        <w:t> </w:t>
      </w:r>
      <w:r>
        <w:rPr>
          <w:rFonts w:hint="eastAsia" w:ascii="方正仿宋简体" w:hAnsi="仿宋_GB2312" w:eastAsia="方正仿宋简体" w:cs="仿宋_GB2312"/>
          <w:kern w:val="1"/>
          <w:sz w:val="32"/>
          <w:szCs w:val="32"/>
        </w:rPr>
        <w:t>60 日内以网银</w:t>
      </w:r>
      <w:r>
        <w:rPr>
          <w:rFonts w:ascii="方正仿宋简体" w:hAnsi="仿宋_GB2312" w:eastAsia="方正仿宋简体" w:cs="仿宋_GB2312"/>
          <w:kern w:val="1"/>
          <w:sz w:val="32"/>
          <w:szCs w:val="32"/>
        </w:rPr>
        <w:t>付款</w:t>
      </w:r>
      <w:r>
        <w:rPr>
          <w:rFonts w:hint="eastAsia" w:ascii="方正仿宋简体" w:hAnsi="仿宋_GB2312" w:eastAsia="方正仿宋简体" w:cs="仿宋_GB2312"/>
          <w:kern w:val="1"/>
          <w:sz w:val="32"/>
          <w:szCs w:val="32"/>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技术部门联系人：卞骏    </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（1）在能够满足招标人技术要求及工期要求的投标人中选择总投标价最低的一家投标人作为中标候选人。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备招标人明确要求资质的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0"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七、其他注意事项：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仿宋简体" w:hAnsi="方正仿宋简体" w:eastAsia="方正仿宋简体" w:cs="方正仿宋简体"/>
          <w:bCs/>
          <w:kern w:val="1"/>
          <w:sz w:val="32"/>
          <w:szCs w:val="32"/>
        </w:rPr>
        <w:t>2.中标人中标以后应严格按照标书约定与招标方签定供需合同，并按合同约定做好物资供应和服务工作。对中标人所有违背标书及合同约定的行为，招标人均可持续保留与中标方中止合作的一切权利。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4.如因中标人不能正常履约，对招标人生产经营活动造成影响的，招标人将依法追究投标方法律责任。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5.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6.3因中标人的项目质量、逾期完成等原因给招标人造成直接和间接经济损失的，由中标人承担全部责任（如有异议请在报价时注明）。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6.4中标人完成本合同规定的内容,招标人按照正常程序使用操作，若给招标人造成的任何损失，由中标人承担全部直接损失的赔偿责任，最高不超过合同总价。</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7.中标人应严格按照标书约定与招标方签定供需合同，并按合同约定做好物资供应和服务工作。对中标人所有违背标书及合同约定的行为，招标人均可持续保留与中标方中止合作的一切权利。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9.投标人应详细阅读本招标书，参与报价投标即视为对本招标书所列之条款均表示接受。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10.招标人对违反约定的投标人或中标人将按《镇江海纳川物流产业发展有限责任公司招标采购管理规定》中供应商管理对投标人进行管理考核（详见附件1）。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11.外协作业人员需先进行安全教育培训。</w:t>
      </w:r>
    </w:p>
    <w:p>
      <w:pPr>
        <w:adjustRightInd w:val="0"/>
        <w:snapToGrid w:val="0"/>
        <w:spacing w:line="600" w:lineRule="exact"/>
        <w:ind w:firstLine="640" w:firstLineChars="200"/>
        <w:rPr>
          <w:rFonts w:ascii="方正小标宋简体" w:hAnsi="方正小标宋简体" w:eastAsia="方正小标宋简体" w:cs="方正小标宋简体"/>
          <w:szCs w:val="44"/>
        </w:rPr>
      </w:pPr>
      <w:r>
        <w:rPr>
          <w:rFonts w:hint="eastAsia" w:ascii="方正仿宋简体" w:hAnsi="方正仿宋简体" w:eastAsia="方正仿宋简体" w:cs="方正仿宋简体"/>
          <w:bCs/>
          <w:kern w:val="1"/>
          <w:sz w:val="32"/>
          <w:szCs w:val="32"/>
        </w:rPr>
        <w:t>12.本次招标为企业自主公开招标，属生产经营性商务行为，解释权归镇江海纳川物流产业发展有限责任公司所有。</w:t>
      </w:r>
    </w:p>
    <w:p>
      <w:pPr>
        <w:pStyle w:val="3"/>
        <w:ind w:left="3520" w:hanging="3520" w:hangingChars="800"/>
        <w:jc w:val="both"/>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 xml:space="preserve">     </w:t>
      </w:r>
    </w:p>
    <w:p>
      <w:pPr>
        <w:pStyle w:val="3"/>
        <w:ind w:left="3520" w:hanging="3520" w:hangingChars="800"/>
        <w:jc w:val="both"/>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 xml:space="preserve">                      </w:t>
      </w:r>
    </w:p>
    <w:p>
      <w:pPr>
        <w:pStyle w:val="3"/>
        <w:ind w:left="3520" w:hanging="3520" w:hangingChars="800"/>
        <w:jc w:val="both"/>
        <w:rPr>
          <w:rFonts w:hint="eastAsia" w:ascii="方正小标宋简体" w:hAnsi="方正小标宋简体" w:eastAsia="方正小标宋简体" w:cs="方正小标宋简体"/>
          <w:szCs w:val="44"/>
        </w:rPr>
      </w:pPr>
    </w:p>
    <w:p>
      <w:pPr>
        <w:pStyle w:val="3"/>
        <w:ind w:left="3520" w:hanging="3520" w:hangingChars="800"/>
        <w:jc w:val="both"/>
        <w:rPr>
          <w:rFonts w:hint="eastAsia" w:ascii="方正小标宋简体" w:hAnsi="方正小标宋简体" w:eastAsia="方正小标宋简体" w:cs="方正小标宋简体"/>
          <w:szCs w:val="44"/>
        </w:rPr>
      </w:pPr>
    </w:p>
    <w:p>
      <w:pPr>
        <w:pStyle w:val="3"/>
        <w:ind w:left="3520" w:hanging="3520" w:hangingChars="800"/>
        <w:jc w:val="both"/>
        <w:rPr>
          <w:rFonts w:hint="eastAsia" w:ascii="方正小标宋简体" w:hAnsi="方正小标宋简体" w:eastAsia="方正小标宋简体" w:cs="方正小标宋简体"/>
          <w:szCs w:val="44"/>
        </w:rPr>
      </w:pPr>
    </w:p>
    <w:p>
      <w:pPr>
        <w:pStyle w:val="3"/>
        <w:ind w:left="3520" w:hanging="3520" w:hangingChars="800"/>
        <w:jc w:val="both"/>
        <w:rPr>
          <w:rFonts w:hint="eastAsia" w:ascii="方正小标宋简体" w:hAnsi="方正小标宋简体" w:eastAsia="方正小标宋简体" w:cs="方正小标宋简体"/>
          <w:szCs w:val="44"/>
        </w:rPr>
      </w:pPr>
    </w:p>
    <w:p>
      <w:pPr>
        <w:pStyle w:val="3"/>
        <w:ind w:left="3520" w:hanging="3520" w:hangingChars="800"/>
        <w:jc w:val="both"/>
        <w:rPr>
          <w:rFonts w:hint="eastAsia" w:ascii="方正小标宋简体" w:hAnsi="方正小标宋简体" w:eastAsia="方正小标宋简体" w:cs="方正小标宋简体"/>
          <w:szCs w:val="44"/>
        </w:rPr>
      </w:pPr>
    </w:p>
    <w:p>
      <w:pPr>
        <w:pStyle w:val="3"/>
        <w:ind w:left="3520" w:hanging="3520" w:hangingChars="800"/>
        <w:jc w:val="both"/>
        <w:rPr>
          <w:rFonts w:hint="eastAsia" w:ascii="方正小标宋简体" w:hAnsi="方正小标宋简体" w:eastAsia="方正小标宋简体" w:cs="方正小标宋简体"/>
          <w:szCs w:val="44"/>
        </w:rPr>
      </w:pPr>
    </w:p>
    <w:p>
      <w:pPr>
        <w:pStyle w:val="3"/>
        <w:ind w:left="3520" w:hanging="3520" w:hangingChars="800"/>
        <w:jc w:val="both"/>
        <w:rPr>
          <w:rFonts w:hint="eastAsia" w:ascii="方正小标宋简体" w:hAnsi="方正小标宋简体" w:eastAsia="方正小标宋简体" w:cs="方正小标宋简体"/>
          <w:szCs w:val="44"/>
        </w:rPr>
      </w:pPr>
    </w:p>
    <w:p>
      <w:pPr>
        <w:pStyle w:val="3"/>
        <w:ind w:left="3520" w:hanging="3520" w:hangingChars="800"/>
        <w:jc w:val="both"/>
        <w:rPr>
          <w:rFonts w:hint="eastAsia" w:ascii="方正小标宋简体" w:hAnsi="方正小标宋简体" w:eastAsia="方正小标宋简体" w:cs="方正小标宋简体"/>
          <w:szCs w:val="44"/>
        </w:rPr>
      </w:pPr>
    </w:p>
    <w:p>
      <w:pPr>
        <w:pStyle w:val="3"/>
        <w:ind w:left="3520" w:hanging="3520" w:hangingChars="800"/>
        <w:jc w:val="both"/>
        <w:rPr>
          <w:rFonts w:hint="eastAsia" w:ascii="方正小标宋简体" w:hAnsi="方正小标宋简体" w:eastAsia="方正小标宋简体" w:cs="方正小标宋简体"/>
          <w:szCs w:val="44"/>
        </w:rPr>
      </w:pPr>
    </w:p>
    <w:p>
      <w:pPr>
        <w:pStyle w:val="3"/>
        <w:ind w:left="3520" w:hanging="3520" w:hangingChars="800"/>
        <w:jc w:val="both"/>
        <w:rPr>
          <w:rFonts w:hint="eastAsia" w:ascii="方正小标宋简体" w:hAnsi="方正小标宋简体" w:eastAsia="方正小标宋简体" w:cs="方正小标宋简体"/>
          <w:szCs w:val="44"/>
        </w:rPr>
      </w:pPr>
    </w:p>
    <w:p>
      <w:pPr>
        <w:pStyle w:val="3"/>
        <w:ind w:left="3520" w:hanging="3520" w:hangingChars="800"/>
        <w:jc w:val="both"/>
        <w:rPr>
          <w:rFonts w:hint="eastAsia" w:ascii="方正小标宋简体" w:hAnsi="方正小标宋简体" w:eastAsia="方正小标宋简体" w:cs="方正小标宋简体"/>
          <w:szCs w:val="44"/>
        </w:rPr>
      </w:pPr>
    </w:p>
    <w:p>
      <w:pPr>
        <w:pStyle w:val="3"/>
        <w:ind w:left="3520" w:hanging="3520" w:hangingChars="800"/>
        <w:jc w:val="both"/>
        <w:rPr>
          <w:rFonts w:hint="eastAsia" w:ascii="方正小标宋简体" w:hAnsi="方正小标宋简体" w:eastAsia="方正小标宋简体" w:cs="方正小标宋简体"/>
          <w:szCs w:val="44"/>
        </w:rPr>
      </w:pPr>
    </w:p>
    <w:p>
      <w:pPr>
        <w:rPr>
          <w:rFonts w:hint="eastAsia"/>
        </w:rPr>
      </w:pPr>
    </w:p>
    <w:p>
      <w:pPr>
        <w:pStyle w:val="3"/>
        <w:ind w:left="3520" w:hanging="3520" w:hangingChars="800"/>
        <w:jc w:val="both"/>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 xml:space="preserve">                                                      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3630"/>
        <w:gridCol w:w="1399"/>
        <w:gridCol w:w="1826"/>
        <w:gridCol w:w="2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123" w:type="dxa"/>
            <w:vAlign w:val="center"/>
          </w:tcPr>
          <w:p>
            <w:pPr>
              <w:keepNext w:val="0"/>
              <w:keepLines w:val="0"/>
              <w:pageBreakBefore w:val="0"/>
              <w:widowControl/>
              <w:kinsoku/>
              <w:wordWrap w:val="0"/>
              <w:overflowPunct/>
              <w:topLinePunct w:val="0"/>
              <w:autoSpaceDE/>
              <w:autoSpaceDN/>
              <w:bidi w:val="0"/>
              <w:adjustRightInd/>
              <w:snapToGrid/>
              <w:spacing w:after="16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序号</w:t>
            </w:r>
          </w:p>
        </w:tc>
        <w:tc>
          <w:tcPr>
            <w:tcW w:w="3630" w:type="dxa"/>
            <w:vAlign w:val="center"/>
          </w:tcPr>
          <w:p>
            <w:pPr>
              <w:keepNext w:val="0"/>
              <w:keepLines w:val="0"/>
              <w:pageBreakBefore w:val="0"/>
              <w:widowControl/>
              <w:kinsoku/>
              <w:wordWrap w:val="0"/>
              <w:overflowPunct/>
              <w:topLinePunct w:val="0"/>
              <w:autoSpaceDE/>
              <w:autoSpaceDN/>
              <w:bidi w:val="0"/>
              <w:adjustRightInd/>
              <w:snapToGrid/>
              <w:spacing w:after="160" w:line="400" w:lineRule="exact"/>
              <w:ind w:firstLine="600" w:firstLineChars="200"/>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标的名称</w:t>
            </w:r>
          </w:p>
        </w:tc>
        <w:tc>
          <w:tcPr>
            <w:tcW w:w="1399" w:type="dxa"/>
            <w:vAlign w:val="center"/>
          </w:tcPr>
          <w:p>
            <w:pPr>
              <w:keepNext w:val="0"/>
              <w:keepLines w:val="0"/>
              <w:pageBreakBefore w:val="0"/>
              <w:widowControl/>
              <w:kinsoku/>
              <w:wordWrap w:val="0"/>
              <w:overflowPunct/>
              <w:topLinePunct w:val="0"/>
              <w:autoSpaceDE/>
              <w:autoSpaceDN/>
              <w:bidi w:val="0"/>
              <w:adjustRightInd/>
              <w:snapToGrid/>
              <w:spacing w:after="160" w:line="400" w:lineRule="exact"/>
              <w:ind w:firstLine="150" w:firstLineChars="50"/>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规格</w:t>
            </w:r>
          </w:p>
        </w:tc>
        <w:tc>
          <w:tcPr>
            <w:tcW w:w="1826" w:type="dxa"/>
            <w:vAlign w:val="center"/>
          </w:tcPr>
          <w:p>
            <w:pPr>
              <w:keepNext w:val="0"/>
              <w:keepLines w:val="0"/>
              <w:pageBreakBefore w:val="0"/>
              <w:widowControl/>
              <w:kinsoku/>
              <w:wordWrap w:val="0"/>
              <w:overflowPunct/>
              <w:topLinePunct w:val="0"/>
              <w:autoSpaceDE/>
              <w:autoSpaceDN/>
              <w:bidi w:val="0"/>
              <w:adjustRightInd/>
              <w:snapToGrid/>
              <w:spacing w:after="16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报价（含税）</w:t>
            </w:r>
          </w:p>
        </w:tc>
        <w:tc>
          <w:tcPr>
            <w:tcW w:w="2265" w:type="dxa"/>
            <w:vAlign w:val="center"/>
          </w:tcPr>
          <w:p>
            <w:pPr>
              <w:keepNext w:val="0"/>
              <w:keepLines w:val="0"/>
              <w:pageBreakBefore w:val="0"/>
              <w:widowControl/>
              <w:kinsoku/>
              <w:wordWrap w:val="0"/>
              <w:overflowPunct/>
              <w:topLinePunct w:val="0"/>
              <w:autoSpaceDE/>
              <w:autoSpaceDN/>
              <w:bidi w:val="0"/>
              <w:adjustRightInd/>
              <w:snapToGrid/>
              <w:spacing w:after="160" w:line="400" w:lineRule="exact"/>
              <w:ind w:firstLine="300" w:firstLineChars="100"/>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exact"/>
          <w:jc w:val="center"/>
        </w:trPr>
        <w:tc>
          <w:tcPr>
            <w:tcW w:w="1123" w:type="dxa"/>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0"/>
                <w:sz w:val="30"/>
                <w:szCs w:val="30"/>
              </w:rPr>
            </w:pPr>
            <w:r>
              <w:rPr>
                <w:rFonts w:hint="eastAsia" w:ascii="方正仿宋简体" w:hAnsi="方正仿宋简体" w:eastAsia="方正仿宋简体" w:cs="方正仿宋简体"/>
                <w:kern w:val="0"/>
                <w:sz w:val="30"/>
                <w:szCs w:val="30"/>
              </w:rPr>
              <w:t>1</w:t>
            </w:r>
          </w:p>
        </w:tc>
        <w:tc>
          <w:tcPr>
            <w:tcW w:w="36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after="16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醋酸气动球阀维修</w:t>
            </w:r>
          </w:p>
        </w:tc>
        <w:tc>
          <w:tcPr>
            <w:tcW w:w="13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0"/>
                <w:sz w:val="30"/>
                <w:szCs w:val="30"/>
              </w:rPr>
            </w:pPr>
            <w:r>
              <w:rPr>
                <w:rFonts w:hint="eastAsia" w:ascii="方正仿宋简体" w:hAnsi="方正仿宋简体" w:eastAsia="方正仿宋简体" w:cs="方正仿宋简体"/>
                <w:kern w:val="0"/>
                <w:sz w:val="30"/>
                <w:szCs w:val="30"/>
              </w:rPr>
              <w:t>DN80</w:t>
            </w:r>
          </w:p>
        </w:tc>
        <w:tc>
          <w:tcPr>
            <w:tcW w:w="1826" w:type="dxa"/>
            <w:vAlign w:val="center"/>
          </w:tcPr>
          <w:p>
            <w:pPr>
              <w:keepNext w:val="0"/>
              <w:keepLines w:val="0"/>
              <w:pageBreakBefore w:val="0"/>
              <w:widowControl/>
              <w:kinsoku/>
              <w:wordWrap w:val="0"/>
              <w:overflowPunct/>
              <w:topLinePunct w:val="0"/>
              <w:autoSpaceDE/>
              <w:autoSpaceDN/>
              <w:bidi w:val="0"/>
              <w:adjustRightInd/>
              <w:snapToGrid/>
              <w:spacing w:after="160" w:line="400" w:lineRule="exact"/>
              <w:jc w:val="center"/>
              <w:textAlignment w:val="auto"/>
              <w:rPr>
                <w:rFonts w:hint="eastAsia" w:ascii="方正仿宋简体" w:hAnsi="方正仿宋简体" w:eastAsia="方正仿宋简体" w:cs="方正仿宋简体"/>
                <w:sz w:val="30"/>
                <w:szCs w:val="30"/>
              </w:rPr>
            </w:pPr>
          </w:p>
        </w:tc>
        <w:tc>
          <w:tcPr>
            <w:tcW w:w="2265" w:type="dxa"/>
            <w:vAlign w:val="center"/>
          </w:tcPr>
          <w:p>
            <w:pPr>
              <w:keepNext w:val="0"/>
              <w:keepLines w:val="0"/>
              <w:pageBreakBefore w:val="0"/>
              <w:widowControl/>
              <w:kinsoku/>
              <w:wordWrap w:val="0"/>
              <w:overflowPunct/>
              <w:topLinePunct w:val="0"/>
              <w:autoSpaceDE/>
              <w:autoSpaceDN/>
              <w:bidi w:val="0"/>
              <w:adjustRightInd/>
              <w:snapToGrid/>
              <w:spacing w:after="160" w:line="400" w:lineRule="exact"/>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配件由中标方提供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exact"/>
          <w:jc w:val="center"/>
        </w:trPr>
        <w:tc>
          <w:tcPr>
            <w:tcW w:w="1123" w:type="dxa"/>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0"/>
                <w:sz w:val="30"/>
                <w:szCs w:val="30"/>
              </w:rPr>
            </w:pPr>
            <w:r>
              <w:rPr>
                <w:rFonts w:hint="eastAsia" w:ascii="方正仿宋简体" w:hAnsi="方正仿宋简体" w:eastAsia="方正仿宋简体" w:cs="方正仿宋简体"/>
                <w:kern w:val="0"/>
                <w:sz w:val="30"/>
                <w:szCs w:val="30"/>
              </w:rPr>
              <w:t>2</w:t>
            </w:r>
          </w:p>
        </w:tc>
        <w:tc>
          <w:tcPr>
            <w:tcW w:w="36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after="16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醋酸气动球阀维修</w:t>
            </w:r>
          </w:p>
        </w:tc>
        <w:tc>
          <w:tcPr>
            <w:tcW w:w="13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0"/>
                <w:sz w:val="30"/>
                <w:szCs w:val="30"/>
              </w:rPr>
            </w:pPr>
            <w:r>
              <w:rPr>
                <w:rFonts w:hint="eastAsia" w:ascii="方正仿宋简体" w:hAnsi="方正仿宋简体" w:eastAsia="方正仿宋简体" w:cs="方正仿宋简体"/>
                <w:kern w:val="0"/>
                <w:sz w:val="30"/>
                <w:szCs w:val="30"/>
              </w:rPr>
              <w:t>DN80</w:t>
            </w:r>
          </w:p>
        </w:tc>
        <w:tc>
          <w:tcPr>
            <w:tcW w:w="1826" w:type="dxa"/>
            <w:vAlign w:val="center"/>
          </w:tcPr>
          <w:p>
            <w:pPr>
              <w:keepNext w:val="0"/>
              <w:keepLines w:val="0"/>
              <w:pageBreakBefore w:val="0"/>
              <w:widowControl/>
              <w:kinsoku/>
              <w:wordWrap w:val="0"/>
              <w:overflowPunct/>
              <w:topLinePunct w:val="0"/>
              <w:autoSpaceDE/>
              <w:autoSpaceDN/>
              <w:bidi w:val="0"/>
              <w:adjustRightInd/>
              <w:snapToGrid/>
              <w:spacing w:after="160" w:line="400" w:lineRule="exact"/>
              <w:jc w:val="center"/>
              <w:textAlignment w:val="auto"/>
              <w:rPr>
                <w:rFonts w:hint="eastAsia" w:ascii="方正仿宋简体" w:hAnsi="方正仿宋简体" w:eastAsia="方正仿宋简体" w:cs="方正仿宋简体"/>
                <w:sz w:val="30"/>
                <w:szCs w:val="30"/>
              </w:rPr>
            </w:pPr>
          </w:p>
        </w:tc>
        <w:tc>
          <w:tcPr>
            <w:tcW w:w="2265" w:type="dxa"/>
            <w:vAlign w:val="center"/>
          </w:tcPr>
          <w:p>
            <w:pPr>
              <w:keepNext w:val="0"/>
              <w:keepLines w:val="0"/>
              <w:pageBreakBefore w:val="0"/>
              <w:widowControl/>
              <w:kinsoku/>
              <w:wordWrap w:val="0"/>
              <w:overflowPunct/>
              <w:topLinePunct w:val="0"/>
              <w:autoSpaceDE/>
              <w:autoSpaceDN/>
              <w:bidi w:val="0"/>
              <w:adjustRightInd/>
              <w:snapToGrid/>
              <w:spacing w:after="160" w:line="400" w:lineRule="exact"/>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配件由中标方提供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3" w:hRule="exact"/>
          <w:jc w:val="center"/>
        </w:trPr>
        <w:tc>
          <w:tcPr>
            <w:tcW w:w="1123" w:type="dxa"/>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0"/>
                <w:sz w:val="30"/>
                <w:szCs w:val="30"/>
              </w:rPr>
            </w:pPr>
            <w:r>
              <w:rPr>
                <w:rFonts w:hint="eastAsia" w:ascii="方正仿宋简体" w:hAnsi="方正仿宋简体" w:eastAsia="方正仿宋简体" w:cs="方正仿宋简体"/>
                <w:kern w:val="0"/>
                <w:sz w:val="30"/>
                <w:szCs w:val="30"/>
              </w:rPr>
              <w:t>3</w:t>
            </w:r>
          </w:p>
        </w:tc>
        <w:tc>
          <w:tcPr>
            <w:tcW w:w="36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after="16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硫酸衬氟气动球阀维修</w:t>
            </w:r>
          </w:p>
        </w:tc>
        <w:tc>
          <w:tcPr>
            <w:tcW w:w="13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0"/>
                <w:sz w:val="30"/>
                <w:szCs w:val="30"/>
              </w:rPr>
            </w:pPr>
            <w:r>
              <w:rPr>
                <w:rFonts w:hint="eastAsia" w:ascii="方正仿宋简体" w:hAnsi="方正仿宋简体" w:eastAsia="方正仿宋简体" w:cs="方正仿宋简体"/>
                <w:kern w:val="0"/>
                <w:sz w:val="30"/>
                <w:szCs w:val="30"/>
              </w:rPr>
              <w:t>DN100</w:t>
            </w:r>
          </w:p>
        </w:tc>
        <w:tc>
          <w:tcPr>
            <w:tcW w:w="1826" w:type="dxa"/>
            <w:vAlign w:val="center"/>
          </w:tcPr>
          <w:p>
            <w:pPr>
              <w:keepNext w:val="0"/>
              <w:keepLines w:val="0"/>
              <w:pageBreakBefore w:val="0"/>
              <w:widowControl/>
              <w:kinsoku/>
              <w:wordWrap w:val="0"/>
              <w:overflowPunct/>
              <w:topLinePunct w:val="0"/>
              <w:autoSpaceDE/>
              <w:autoSpaceDN/>
              <w:bidi w:val="0"/>
              <w:adjustRightInd/>
              <w:snapToGrid/>
              <w:spacing w:after="160" w:line="400" w:lineRule="exact"/>
              <w:jc w:val="center"/>
              <w:textAlignment w:val="auto"/>
              <w:rPr>
                <w:rFonts w:hint="eastAsia" w:ascii="方正仿宋简体" w:hAnsi="方正仿宋简体" w:eastAsia="方正仿宋简体" w:cs="方正仿宋简体"/>
                <w:sz w:val="30"/>
                <w:szCs w:val="30"/>
              </w:rPr>
            </w:pPr>
          </w:p>
        </w:tc>
        <w:tc>
          <w:tcPr>
            <w:tcW w:w="2265" w:type="dxa"/>
            <w:vAlign w:val="center"/>
          </w:tcPr>
          <w:p>
            <w:pPr>
              <w:keepNext w:val="0"/>
              <w:keepLines w:val="0"/>
              <w:pageBreakBefore w:val="0"/>
              <w:widowControl/>
              <w:kinsoku/>
              <w:wordWrap w:val="0"/>
              <w:overflowPunct/>
              <w:topLinePunct w:val="0"/>
              <w:autoSpaceDE/>
              <w:autoSpaceDN/>
              <w:bidi w:val="0"/>
              <w:adjustRightInd/>
              <w:snapToGrid/>
              <w:spacing w:after="160" w:line="400" w:lineRule="exact"/>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配件由中标方提供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exact"/>
          <w:jc w:val="center"/>
        </w:trPr>
        <w:tc>
          <w:tcPr>
            <w:tcW w:w="1123" w:type="dxa"/>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0"/>
                <w:sz w:val="30"/>
                <w:szCs w:val="30"/>
              </w:rPr>
            </w:pPr>
            <w:r>
              <w:rPr>
                <w:rFonts w:hint="eastAsia" w:ascii="方正仿宋简体" w:hAnsi="方正仿宋简体" w:eastAsia="方正仿宋简体" w:cs="方正仿宋简体"/>
                <w:kern w:val="0"/>
                <w:sz w:val="30"/>
                <w:szCs w:val="30"/>
              </w:rPr>
              <w:t>4</w:t>
            </w:r>
          </w:p>
        </w:tc>
        <w:tc>
          <w:tcPr>
            <w:tcW w:w="36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after="16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硫酸衬氟气动球阀维修</w:t>
            </w:r>
          </w:p>
        </w:tc>
        <w:tc>
          <w:tcPr>
            <w:tcW w:w="13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0"/>
                <w:sz w:val="30"/>
                <w:szCs w:val="30"/>
              </w:rPr>
            </w:pPr>
            <w:r>
              <w:rPr>
                <w:rFonts w:hint="eastAsia" w:ascii="方正仿宋简体" w:hAnsi="方正仿宋简体" w:eastAsia="方正仿宋简体" w:cs="方正仿宋简体"/>
                <w:kern w:val="0"/>
                <w:sz w:val="30"/>
                <w:szCs w:val="30"/>
              </w:rPr>
              <w:t>DN250</w:t>
            </w:r>
          </w:p>
        </w:tc>
        <w:tc>
          <w:tcPr>
            <w:tcW w:w="1826" w:type="dxa"/>
            <w:vAlign w:val="center"/>
          </w:tcPr>
          <w:p>
            <w:pPr>
              <w:keepNext w:val="0"/>
              <w:keepLines w:val="0"/>
              <w:pageBreakBefore w:val="0"/>
              <w:widowControl/>
              <w:kinsoku/>
              <w:wordWrap w:val="0"/>
              <w:overflowPunct/>
              <w:topLinePunct w:val="0"/>
              <w:autoSpaceDE/>
              <w:autoSpaceDN/>
              <w:bidi w:val="0"/>
              <w:adjustRightInd/>
              <w:snapToGrid/>
              <w:spacing w:after="160" w:line="400" w:lineRule="exact"/>
              <w:jc w:val="center"/>
              <w:textAlignment w:val="auto"/>
              <w:rPr>
                <w:rFonts w:hint="eastAsia" w:ascii="方正仿宋简体" w:hAnsi="方正仿宋简体" w:eastAsia="方正仿宋简体" w:cs="方正仿宋简体"/>
                <w:sz w:val="30"/>
                <w:szCs w:val="30"/>
              </w:rPr>
            </w:pPr>
          </w:p>
        </w:tc>
        <w:tc>
          <w:tcPr>
            <w:tcW w:w="2265" w:type="dxa"/>
            <w:vAlign w:val="center"/>
          </w:tcPr>
          <w:p>
            <w:pPr>
              <w:keepNext w:val="0"/>
              <w:keepLines w:val="0"/>
              <w:pageBreakBefore w:val="0"/>
              <w:widowControl/>
              <w:kinsoku/>
              <w:wordWrap w:val="0"/>
              <w:overflowPunct/>
              <w:topLinePunct w:val="0"/>
              <w:autoSpaceDE/>
              <w:autoSpaceDN/>
              <w:bidi w:val="0"/>
              <w:adjustRightInd/>
              <w:snapToGrid/>
              <w:spacing w:after="160" w:line="400" w:lineRule="exact"/>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配件由中标方提供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7978" w:type="dxa"/>
            <w:gridSpan w:val="4"/>
            <w:tcBorders>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after="160"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以上合计总价（大写）：</w:t>
            </w:r>
          </w:p>
          <w:p>
            <w:pPr>
              <w:keepNext w:val="0"/>
              <w:keepLines w:val="0"/>
              <w:pageBreakBefore w:val="0"/>
              <w:widowControl/>
              <w:kinsoku/>
              <w:wordWrap w:val="0"/>
              <w:overflowPunct/>
              <w:topLinePunct w:val="0"/>
              <w:autoSpaceDE/>
              <w:autoSpaceDN/>
              <w:bidi w:val="0"/>
              <w:adjustRightInd/>
              <w:snapToGrid/>
              <w:spacing w:after="160"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小写：</w:t>
            </w:r>
          </w:p>
          <w:p>
            <w:pPr>
              <w:keepNext w:val="0"/>
              <w:keepLines w:val="0"/>
              <w:pageBreakBefore w:val="0"/>
              <w:widowControl/>
              <w:kinsoku/>
              <w:wordWrap w:val="0"/>
              <w:overflowPunct/>
              <w:topLinePunct w:val="0"/>
              <w:autoSpaceDE/>
              <w:autoSpaceDN/>
              <w:bidi w:val="0"/>
              <w:adjustRightInd/>
              <w:snapToGrid/>
              <w:spacing w:after="160" w:line="400" w:lineRule="exact"/>
              <w:jc w:val="left"/>
              <w:textAlignment w:val="auto"/>
              <w:rPr>
                <w:rFonts w:hint="eastAsia" w:ascii="方正仿宋简体" w:hAnsi="方正仿宋简体" w:eastAsia="方正仿宋简体" w:cs="方正仿宋简体"/>
                <w:sz w:val="30"/>
                <w:szCs w:val="30"/>
              </w:rPr>
            </w:pPr>
          </w:p>
        </w:tc>
        <w:tc>
          <w:tcPr>
            <w:tcW w:w="2265" w:type="dxa"/>
            <w:tcBorders>
              <w:left w:val="single" w:color="auto" w:sz="4" w:space="0"/>
            </w:tcBorders>
            <w:vAlign w:val="center"/>
          </w:tcPr>
          <w:p>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小写：</w:t>
            </w:r>
          </w:p>
          <w:p>
            <w:pPr>
              <w:keepNext w:val="0"/>
              <w:keepLines w:val="0"/>
              <w:pageBreakBefore w:val="0"/>
              <w:widowControl/>
              <w:kinsoku/>
              <w:wordWrap w:val="0"/>
              <w:overflowPunct/>
              <w:topLinePunct w:val="0"/>
              <w:autoSpaceDE/>
              <w:autoSpaceDN/>
              <w:bidi w:val="0"/>
              <w:adjustRightInd/>
              <w:snapToGrid/>
              <w:spacing w:after="160" w:line="400" w:lineRule="exact"/>
              <w:jc w:val="left"/>
              <w:textAlignment w:val="auto"/>
              <w:rPr>
                <w:rFonts w:hint="eastAsia" w:ascii="方正仿宋简体" w:hAnsi="方正仿宋简体" w:eastAsia="方正仿宋简体" w:cs="方正仿宋简体"/>
                <w:sz w:val="30"/>
                <w:szCs w:val="30"/>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三.工期：</w:t>
      </w:r>
      <w:r>
        <w:rPr>
          <w:rFonts w:hint="eastAsia" w:ascii="方正仿宋简体" w:hAnsi="仿宋_GB2312" w:eastAsia="方正仿宋简体" w:cs="仿宋_GB2312"/>
          <w:kern w:val="32"/>
          <w:sz w:val="32"/>
          <w:szCs w:val="32"/>
          <w:u w:val="single"/>
        </w:rPr>
        <w:t>合同签订后</w:t>
      </w:r>
      <w:r>
        <w:rPr>
          <w:rFonts w:ascii="方正仿宋简体" w:hAnsi="仿宋_GB2312" w:eastAsia="方正仿宋简体" w:cs="仿宋_GB2312"/>
          <w:kern w:val="32"/>
          <w:sz w:val="32"/>
          <w:szCs w:val="32"/>
          <w:u w:val="single"/>
        </w:rPr>
        <w:t>5</w:t>
      </w:r>
      <w:r>
        <w:rPr>
          <w:rFonts w:hint="eastAsia" w:ascii="方正仿宋简体" w:hAnsi="仿宋_GB2312" w:eastAsia="方正仿宋简体" w:cs="仿宋_GB2312"/>
          <w:kern w:val="32"/>
          <w:sz w:val="32"/>
          <w:szCs w:val="32"/>
          <w:u w:val="single"/>
        </w:rPr>
        <w:t>天内</w:t>
      </w:r>
      <w:r>
        <w:rPr>
          <w:rFonts w:hint="eastAsia" w:ascii="方正仿宋简体" w:hAnsi="方正仿宋简体" w:eastAsia="方正仿宋简体" w:cs="方正仿宋简体"/>
          <w:kern w:val="1"/>
          <w:sz w:val="32"/>
          <w:szCs w:val="32"/>
          <w:u w:val="single"/>
        </w:rPr>
        <w:t xml:space="preserve"> 。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2"/>
      </w:pPr>
    </w:p>
    <w:p/>
    <w:p>
      <w:pPr>
        <w:pStyle w:val="2"/>
      </w:pPr>
    </w:p>
    <w:p/>
    <w:p>
      <w:pPr>
        <w:pStyle w:val="2"/>
      </w:pPr>
    </w:p>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黑体_GBK"/>
          <w:sz w:val="32"/>
          <w:szCs w:val="32"/>
        </w:rPr>
        <w:t xml:space="preserve"> </w:t>
      </w:r>
      <w:r>
        <w:rPr>
          <w:rFonts w:hint="eastAsia" w:ascii="黑体" w:hAnsi="黑体" w:eastAsia="黑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（二）负面清单确定流程</w:t>
      </w:r>
    </w:p>
    <w:p>
      <w:pPr>
        <w:pStyle w:val="2"/>
      </w:pPr>
      <w:r>
        <w:drawing>
          <wp:anchor distT="0" distB="0" distL="114300" distR="114300" simplePos="0" relativeHeight="251660288" behindDoc="0" locked="0" layoutInCell="1" allowOverlap="1">
            <wp:simplePos x="0" y="0"/>
            <wp:positionH relativeFrom="column">
              <wp:posOffset>-723900</wp:posOffset>
            </wp:positionH>
            <wp:positionV relativeFrom="page">
              <wp:posOffset>984250</wp:posOffset>
            </wp:positionV>
            <wp:extent cx="6713220" cy="8780145"/>
            <wp:effectExtent l="0" t="0" r="0"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713220" cy="8780145"/>
                    </a:xfrm>
                    <a:prstGeom prst="rect">
                      <a:avLst/>
                    </a:prstGeom>
                    <a:noFill/>
                    <a:ln>
                      <a:noFill/>
                    </a:ln>
                  </pic:spPr>
                </pic:pic>
              </a:graphicData>
            </a:graphic>
          </wp:anchor>
        </w:drawing>
      </w:r>
    </w:p>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color w:val="000000"/>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w:t>
      </w:r>
      <w:r>
        <w:rPr>
          <w:rFonts w:hint="eastAsia" w:ascii="方正仿宋简体" w:hAnsi="方正仿宋简体" w:eastAsia="方正仿宋简体" w:cs="方正仿宋简体"/>
          <w:sz w:val="32"/>
          <w:szCs w:val="32"/>
          <w:lang w:eastAsia="zh-CN"/>
        </w:rPr>
        <w:t>。</w:t>
      </w:r>
      <w:bookmarkStart w:id="0" w:name="_GoBack"/>
      <w:bookmarkEnd w:id="0"/>
    </w:p>
    <w:sectPr>
      <w:headerReference r:id="rId3" w:type="default"/>
      <w:footerReference r:id="rId4"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WM2YjU3NjgyYzAyZWIyNDMxM2FmOGI0YzZlZmYifQ=="/>
  </w:docVars>
  <w:rsids>
    <w:rsidRoot w:val="359E47FF"/>
    <w:rsid w:val="00014585"/>
    <w:rsid w:val="00017179"/>
    <w:rsid w:val="00020147"/>
    <w:rsid w:val="00030D33"/>
    <w:rsid w:val="00030EA4"/>
    <w:rsid w:val="00030F87"/>
    <w:rsid w:val="00044BD1"/>
    <w:rsid w:val="000456FE"/>
    <w:rsid w:val="00070D02"/>
    <w:rsid w:val="00090631"/>
    <w:rsid w:val="00090B35"/>
    <w:rsid w:val="0009250C"/>
    <w:rsid w:val="000A1760"/>
    <w:rsid w:val="000A22DB"/>
    <w:rsid w:val="000A2441"/>
    <w:rsid w:val="000A4392"/>
    <w:rsid w:val="000C0085"/>
    <w:rsid w:val="000C1845"/>
    <w:rsid w:val="000C73E1"/>
    <w:rsid w:val="000D6A23"/>
    <w:rsid w:val="000E4695"/>
    <w:rsid w:val="0010553B"/>
    <w:rsid w:val="001260B7"/>
    <w:rsid w:val="0013620C"/>
    <w:rsid w:val="00160290"/>
    <w:rsid w:val="00166793"/>
    <w:rsid w:val="00193418"/>
    <w:rsid w:val="001A3458"/>
    <w:rsid w:val="001A776A"/>
    <w:rsid w:val="001A7FE6"/>
    <w:rsid w:val="001C45B4"/>
    <w:rsid w:val="001C73AC"/>
    <w:rsid w:val="001E30C1"/>
    <w:rsid w:val="001F16BE"/>
    <w:rsid w:val="001F6542"/>
    <w:rsid w:val="00207D62"/>
    <w:rsid w:val="00210C67"/>
    <w:rsid w:val="00211B5C"/>
    <w:rsid w:val="002133E5"/>
    <w:rsid w:val="0024403B"/>
    <w:rsid w:val="00277310"/>
    <w:rsid w:val="00277F2B"/>
    <w:rsid w:val="0029332A"/>
    <w:rsid w:val="002A58C3"/>
    <w:rsid w:val="002C678D"/>
    <w:rsid w:val="002D0CA9"/>
    <w:rsid w:val="002D754A"/>
    <w:rsid w:val="002E4BC6"/>
    <w:rsid w:val="002E773D"/>
    <w:rsid w:val="002F66BD"/>
    <w:rsid w:val="00331F42"/>
    <w:rsid w:val="00342302"/>
    <w:rsid w:val="00342EE5"/>
    <w:rsid w:val="00355E41"/>
    <w:rsid w:val="003732C8"/>
    <w:rsid w:val="003A29B9"/>
    <w:rsid w:val="003A4CFD"/>
    <w:rsid w:val="003C0E94"/>
    <w:rsid w:val="003C384A"/>
    <w:rsid w:val="003C775F"/>
    <w:rsid w:val="00413897"/>
    <w:rsid w:val="00455075"/>
    <w:rsid w:val="00466243"/>
    <w:rsid w:val="004840C3"/>
    <w:rsid w:val="004875EB"/>
    <w:rsid w:val="004936F2"/>
    <w:rsid w:val="004975D5"/>
    <w:rsid w:val="004B5C7C"/>
    <w:rsid w:val="004C1280"/>
    <w:rsid w:val="004C289D"/>
    <w:rsid w:val="004D30D3"/>
    <w:rsid w:val="004E6EA7"/>
    <w:rsid w:val="004E789D"/>
    <w:rsid w:val="004F4F62"/>
    <w:rsid w:val="004F5E27"/>
    <w:rsid w:val="004F6ADB"/>
    <w:rsid w:val="00546FD9"/>
    <w:rsid w:val="00550D17"/>
    <w:rsid w:val="0056162E"/>
    <w:rsid w:val="005779CC"/>
    <w:rsid w:val="005A66DB"/>
    <w:rsid w:val="005B58C8"/>
    <w:rsid w:val="005F6FF4"/>
    <w:rsid w:val="00613278"/>
    <w:rsid w:val="006251E4"/>
    <w:rsid w:val="006364E3"/>
    <w:rsid w:val="00641060"/>
    <w:rsid w:val="00644569"/>
    <w:rsid w:val="00644B92"/>
    <w:rsid w:val="00670735"/>
    <w:rsid w:val="006835A9"/>
    <w:rsid w:val="00692AAE"/>
    <w:rsid w:val="006A1D0F"/>
    <w:rsid w:val="006A26A7"/>
    <w:rsid w:val="006D00BD"/>
    <w:rsid w:val="006D3CEC"/>
    <w:rsid w:val="006E0809"/>
    <w:rsid w:val="006E7FF4"/>
    <w:rsid w:val="006F11B5"/>
    <w:rsid w:val="007254B5"/>
    <w:rsid w:val="00726294"/>
    <w:rsid w:val="00753CD1"/>
    <w:rsid w:val="00756CEF"/>
    <w:rsid w:val="007615F1"/>
    <w:rsid w:val="007673CE"/>
    <w:rsid w:val="007856FB"/>
    <w:rsid w:val="007875CD"/>
    <w:rsid w:val="007A06F7"/>
    <w:rsid w:val="007B12D6"/>
    <w:rsid w:val="007D630F"/>
    <w:rsid w:val="007E2663"/>
    <w:rsid w:val="007E6E47"/>
    <w:rsid w:val="00801C0C"/>
    <w:rsid w:val="008124CB"/>
    <w:rsid w:val="008253EA"/>
    <w:rsid w:val="00842B41"/>
    <w:rsid w:val="00856599"/>
    <w:rsid w:val="00862EB5"/>
    <w:rsid w:val="00882A3F"/>
    <w:rsid w:val="008C12C6"/>
    <w:rsid w:val="008C785B"/>
    <w:rsid w:val="008D0252"/>
    <w:rsid w:val="008D117B"/>
    <w:rsid w:val="008D2F65"/>
    <w:rsid w:val="008D5377"/>
    <w:rsid w:val="0091028A"/>
    <w:rsid w:val="009224D1"/>
    <w:rsid w:val="0093613E"/>
    <w:rsid w:val="00975ECA"/>
    <w:rsid w:val="009A7843"/>
    <w:rsid w:val="009C4225"/>
    <w:rsid w:val="009D1883"/>
    <w:rsid w:val="009E1173"/>
    <w:rsid w:val="009F3009"/>
    <w:rsid w:val="00A054F9"/>
    <w:rsid w:val="00A43176"/>
    <w:rsid w:val="00A46983"/>
    <w:rsid w:val="00A5038B"/>
    <w:rsid w:val="00A63D7F"/>
    <w:rsid w:val="00A70A88"/>
    <w:rsid w:val="00A7381A"/>
    <w:rsid w:val="00A91112"/>
    <w:rsid w:val="00A934E7"/>
    <w:rsid w:val="00A97749"/>
    <w:rsid w:val="00AB605D"/>
    <w:rsid w:val="00AB6095"/>
    <w:rsid w:val="00AB732F"/>
    <w:rsid w:val="00AC569D"/>
    <w:rsid w:val="00AC6D64"/>
    <w:rsid w:val="00B17FFA"/>
    <w:rsid w:val="00B26645"/>
    <w:rsid w:val="00B353E5"/>
    <w:rsid w:val="00B35C7E"/>
    <w:rsid w:val="00B42231"/>
    <w:rsid w:val="00B51C96"/>
    <w:rsid w:val="00B74619"/>
    <w:rsid w:val="00B82CED"/>
    <w:rsid w:val="00B90950"/>
    <w:rsid w:val="00BA301F"/>
    <w:rsid w:val="00BD31F2"/>
    <w:rsid w:val="00BD78FB"/>
    <w:rsid w:val="00BE4922"/>
    <w:rsid w:val="00BE5D4A"/>
    <w:rsid w:val="00BF10B4"/>
    <w:rsid w:val="00BF2809"/>
    <w:rsid w:val="00BF3A14"/>
    <w:rsid w:val="00BF3A1A"/>
    <w:rsid w:val="00C12B8D"/>
    <w:rsid w:val="00C258E8"/>
    <w:rsid w:val="00C32DF9"/>
    <w:rsid w:val="00C50B39"/>
    <w:rsid w:val="00C56465"/>
    <w:rsid w:val="00C64DD7"/>
    <w:rsid w:val="00C820EB"/>
    <w:rsid w:val="00C84A6E"/>
    <w:rsid w:val="00C97E7F"/>
    <w:rsid w:val="00CD5113"/>
    <w:rsid w:val="00CE3E58"/>
    <w:rsid w:val="00D24639"/>
    <w:rsid w:val="00D32CC0"/>
    <w:rsid w:val="00D420A6"/>
    <w:rsid w:val="00D4693D"/>
    <w:rsid w:val="00D51C9C"/>
    <w:rsid w:val="00D51EE2"/>
    <w:rsid w:val="00D71199"/>
    <w:rsid w:val="00DC1973"/>
    <w:rsid w:val="00DC3BAB"/>
    <w:rsid w:val="00DD152B"/>
    <w:rsid w:val="00DD194E"/>
    <w:rsid w:val="00DD32A7"/>
    <w:rsid w:val="00DD36C8"/>
    <w:rsid w:val="00DE6C35"/>
    <w:rsid w:val="00E14327"/>
    <w:rsid w:val="00E21521"/>
    <w:rsid w:val="00E45A9C"/>
    <w:rsid w:val="00E4738E"/>
    <w:rsid w:val="00E533FF"/>
    <w:rsid w:val="00E60D23"/>
    <w:rsid w:val="00E73B72"/>
    <w:rsid w:val="00E74639"/>
    <w:rsid w:val="00E9659A"/>
    <w:rsid w:val="00EA3C20"/>
    <w:rsid w:val="00EC47B8"/>
    <w:rsid w:val="00ED646F"/>
    <w:rsid w:val="00F16E4B"/>
    <w:rsid w:val="00F32DB5"/>
    <w:rsid w:val="00F360AB"/>
    <w:rsid w:val="00F45B42"/>
    <w:rsid w:val="00F474AF"/>
    <w:rsid w:val="00F5619B"/>
    <w:rsid w:val="00F764A5"/>
    <w:rsid w:val="00F82531"/>
    <w:rsid w:val="00FA1409"/>
    <w:rsid w:val="00FB4787"/>
    <w:rsid w:val="00FC2CA3"/>
    <w:rsid w:val="00FC404C"/>
    <w:rsid w:val="00FD28F4"/>
    <w:rsid w:val="00FE007B"/>
    <w:rsid w:val="00FF61CA"/>
    <w:rsid w:val="0355512A"/>
    <w:rsid w:val="04E42F38"/>
    <w:rsid w:val="0CCD460E"/>
    <w:rsid w:val="0EDC703A"/>
    <w:rsid w:val="0F866E5F"/>
    <w:rsid w:val="126F548F"/>
    <w:rsid w:val="1444244B"/>
    <w:rsid w:val="148B12E6"/>
    <w:rsid w:val="14EA645D"/>
    <w:rsid w:val="19181A3A"/>
    <w:rsid w:val="19DD0389"/>
    <w:rsid w:val="1A3D3083"/>
    <w:rsid w:val="1D074620"/>
    <w:rsid w:val="20387DDF"/>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A434323"/>
    <w:rsid w:val="4B060719"/>
    <w:rsid w:val="4C9F173F"/>
    <w:rsid w:val="4D185277"/>
    <w:rsid w:val="4DC0511E"/>
    <w:rsid w:val="4FAC5BC3"/>
    <w:rsid w:val="4FC61FF0"/>
    <w:rsid w:val="50846203"/>
    <w:rsid w:val="50DD469C"/>
    <w:rsid w:val="51ED4DB3"/>
    <w:rsid w:val="538763B9"/>
    <w:rsid w:val="55DC546E"/>
    <w:rsid w:val="579C3951"/>
    <w:rsid w:val="596D6B7C"/>
    <w:rsid w:val="5CEC747F"/>
    <w:rsid w:val="5FC1162D"/>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1061</Words>
  <Characters>6054</Characters>
  <Lines>50</Lines>
  <Paragraphs>14</Paragraphs>
  <TotalTime>9</TotalTime>
  <ScaleCrop>false</ScaleCrop>
  <LinksUpToDate>false</LinksUpToDate>
  <CharactersWithSpaces>7101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2023-08-22T07:40:26Z</dcterms:modified>
  <dc:title>镇江海纳川物流产业发展有限责任公司</dc:title>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31C32E83394248B3BAE7D1AF1360BA57_13</vt:lpwstr>
  </property>
</Properties>
</file>