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方正小标宋简体" w:eastAsia="方正小标宋简体" w:cs="宋体"/>
          <w:lang w:val="en-US" w:eastAsia="zh-CN"/>
        </w:rPr>
      </w:pPr>
      <w:r>
        <w:rPr>
          <w:rFonts w:hint="eastAsia" w:ascii="方正小标宋简体" w:eastAsia="方正小标宋简体" w:cs="宋体"/>
          <w:lang w:val="en-US" w:eastAsia="zh-CN"/>
        </w:rPr>
        <w:t>江苏省物资集团镇江储运开发有限公司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自主公开招标的方式选定供应商，</w:t>
      </w:r>
      <w:r>
        <w:rPr>
          <w:rFonts w:hint="eastAsia" w:ascii="方正仿宋简体" w:hAnsi="方正仿宋简体" w:eastAsia="方正仿宋简体" w:cs="方正仿宋简体"/>
          <w:color w:val="auto"/>
          <w:sz w:val="32"/>
          <w:szCs w:val="32"/>
        </w:rPr>
        <w:t>欢迎具有相关资质的</w:t>
      </w:r>
      <w:r>
        <w:rPr>
          <w:rFonts w:hint="eastAsia" w:ascii="方正仿宋简体" w:hAnsi="方正仿宋简体" w:eastAsia="方正仿宋简体" w:cs="方正仿宋简体"/>
          <w:color w:val="auto"/>
          <w:sz w:val="32"/>
          <w:szCs w:val="32"/>
          <w:lang w:val="en-US" w:eastAsia="zh-CN"/>
        </w:rPr>
        <w:t>保险公司</w:t>
      </w:r>
      <w:r>
        <w:rPr>
          <w:rFonts w:hint="eastAsia" w:ascii="方正仿宋简体" w:hAnsi="方正仿宋简体" w:eastAsia="方正仿宋简体" w:cs="方正仿宋简体"/>
          <w:color w:val="auto"/>
          <w:sz w:val="32"/>
          <w:szCs w:val="32"/>
        </w:rPr>
        <w:t>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3</w:t>
      </w:r>
      <w:r>
        <w:rPr>
          <w:rFonts w:hint="eastAsia" w:ascii="方正仿宋简体" w:hAnsi="方正仿宋简体" w:eastAsia="方正仿宋简体" w:cs="方正仿宋简体"/>
          <w:bCs/>
          <w:sz w:val="32"/>
          <w:szCs w:val="32"/>
          <w:u w:val="single"/>
        </w:rPr>
        <w:t>年</w:t>
      </w:r>
      <w:r>
        <w:rPr>
          <w:rFonts w:hint="eastAsia" w:ascii="方正仿宋简体" w:hAnsi="方正仿宋简体" w:eastAsia="方正仿宋简体" w:cs="方正仿宋简体"/>
          <w:bCs/>
          <w:sz w:val="32"/>
          <w:szCs w:val="32"/>
          <w:u w:val="single"/>
          <w:lang w:val="en-US" w:eastAsia="zh-CN"/>
        </w:rPr>
        <w:t xml:space="preserve">团体人身意外伤害险 </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2023年9月5日下午2点整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 xml:space="preserve"> 2023年9月5日下午2点整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w:t>
      </w:r>
      <w:r>
        <w:rPr>
          <w:rFonts w:hint="eastAsia" w:ascii="方正仿宋简体" w:hAnsi="方正仿宋简体" w:eastAsia="方正仿宋简体" w:cs="方正仿宋简体"/>
          <w:sz w:val="32"/>
          <w:szCs w:val="32"/>
          <w:highlight w:val="none"/>
          <w:u w:val="single" w:color="auto"/>
          <w:lang w:val="en-US" w:eastAsia="zh-CN"/>
        </w:rPr>
        <w:t>开标室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tbl>
      <w:tblPr>
        <w:tblStyle w:val="13"/>
        <w:tblpPr w:leftFromText="180" w:rightFromText="180" w:vertAnchor="text" w:horzAnchor="page" w:tblpX="2056" w:tblpY="264"/>
        <w:tblOverlap w:val="never"/>
        <w:tblW w:w="8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946"/>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946" w:type="dxa"/>
            <w:vAlign w:val="center"/>
          </w:tcPr>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黑体_GBK" w:hAnsi="方正黑体_GBK" w:eastAsia="方正黑体_GBK" w:cs="方正黑体_GBK"/>
                <w:b/>
                <w:color w:val="000000"/>
                <w:sz w:val="32"/>
                <w:szCs w:val="32"/>
              </w:rPr>
            </w:pP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highlight w:val="none"/>
                <w:lang w:val="en-US" w:eastAsia="zh-CN"/>
              </w:rPr>
              <w:t xml:space="preserve"> </w:t>
            </w:r>
            <w:r>
              <w:rPr>
                <w:rFonts w:hint="eastAsia" w:ascii="方正黑体_GBK" w:hAnsi="方正黑体_GBK" w:eastAsia="方正黑体_GBK" w:cs="方正黑体_GBK"/>
                <w:b/>
                <w:bCs/>
                <w:color w:val="000000"/>
                <w:kern w:val="0"/>
                <w:sz w:val="32"/>
                <w:szCs w:val="32"/>
                <w:lang w:val="en-US" w:eastAsia="zh-CN" w:bidi="ar"/>
              </w:rPr>
              <w:t>保障项目</w:t>
            </w:r>
          </w:p>
        </w:tc>
        <w:tc>
          <w:tcPr>
            <w:tcW w:w="5055" w:type="dxa"/>
            <w:vAlign w:val="center"/>
          </w:tcPr>
          <w:p>
            <w:pPr>
              <w:keepNext w:val="0"/>
              <w:keepLines w:val="0"/>
              <w:widowControl/>
              <w:suppressLineNumbers w:val="0"/>
              <w:jc w:val="center"/>
              <w:rPr>
                <w:rFonts w:hint="default" w:ascii="方正黑体_GBK" w:hAnsi="方正黑体_GBK" w:eastAsia="方正黑体_GBK" w:cs="方正黑体_GBK"/>
                <w:b/>
                <w:color w:val="000000"/>
                <w:sz w:val="32"/>
                <w:szCs w:val="32"/>
                <w:lang w:val="en-US"/>
              </w:rPr>
            </w:pPr>
            <w:r>
              <w:rPr>
                <w:rFonts w:hint="eastAsia" w:ascii="方正黑体_GBK" w:hAnsi="方正黑体_GBK" w:eastAsia="方正黑体_GBK" w:cs="方正黑体_GBK"/>
                <w:b/>
                <w:bCs/>
                <w:color w:val="000000"/>
                <w:kern w:val="0"/>
                <w:sz w:val="32"/>
                <w:szCs w:val="32"/>
                <w:lang w:val="en-US" w:eastAsia="zh-CN" w:bidi="ar"/>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color w:val="000000"/>
                <w:kern w:val="0"/>
                <w:sz w:val="28"/>
                <w:szCs w:val="28"/>
                <w:lang w:val="en-US" w:eastAsia="zh-CN" w:bidi="ar"/>
              </w:rPr>
              <w:t>意外身故</w:t>
            </w:r>
          </w:p>
        </w:tc>
        <w:tc>
          <w:tcPr>
            <w:tcW w:w="5055" w:type="dxa"/>
            <w:vAlign w:val="center"/>
          </w:tcPr>
          <w:p>
            <w:pPr>
              <w:keepNext w:val="0"/>
              <w:keepLines w:val="0"/>
              <w:widowControl/>
              <w:suppressLineNumbers w:val="0"/>
              <w:jc w:val="left"/>
              <w:rPr>
                <w:rFonts w:hint="default" w:ascii="方正仿宋简体" w:hAnsi="方正仿宋简体" w:eastAsia="方正仿宋简体" w:cs="方正仿宋简体"/>
                <w:color w:val="000000"/>
                <w:kern w:val="0"/>
                <w:sz w:val="28"/>
                <w:szCs w:val="28"/>
                <w:lang w:val="en-US"/>
              </w:rPr>
            </w:pPr>
            <w:r>
              <w:rPr>
                <w:rFonts w:hint="eastAsia" w:ascii="方正仿宋简体" w:hAnsi="方正仿宋简体" w:eastAsia="方正仿宋简体" w:cs="方正仿宋简体"/>
                <w:color w:val="000000"/>
                <w:kern w:val="0"/>
                <w:sz w:val="28"/>
                <w:szCs w:val="28"/>
                <w:lang w:val="en-US" w:eastAsia="zh-CN" w:bidi="ar"/>
              </w:rPr>
              <w:t>每人20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default" w:ascii="方正仿宋简体" w:hAnsi="方正仿宋简体" w:eastAsia="方正仿宋简体" w:cs="方正仿宋简体"/>
                <w:bCs/>
                <w:color w:val="000000"/>
                <w:sz w:val="28"/>
                <w:szCs w:val="28"/>
                <w:lang w:val="en-US" w:eastAsia="zh-CN"/>
              </w:rPr>
            </w:pPr>
            <w:r>
              <w:rPr>
                <w:rFonts w:hint="eastAsia" w:ascii="方正仿宋简体" w:hAnsi="方正仿宋简体" w:eastAsia="方正仿宋简体" w:cs="方正仿宋简体"/>
                <w:bCs/>
                <w:color w:val="000000"/>
                <w:sz w:val="28"/>
                <w:szCs w:val="28"/>
                <w:lang w:val="en-US" w:eastAsia="zh-CN"/>
              </w:rPr>
              <w:t>意外伤残</w:t>
            </w:r>
          </w:p>
        </w:tc>
        <w:tc>
          <w:tcPr>
            <w:tcW w:w="5055" w:type="dxa"/>
            <w:vAlign w:val="center"/>
          </w:tcPr>
          <w:p>
            <w:pPr>
              <w:keepNext w:val="0"/>
              <w:keepLines w:val="0"/>
              <w:widowControl/>
              <w:suppressLineNumbers w:val="0"/>
              <w:jc w:val="left"/>
              <w:rPr>
                <w:rFonts w:hint="default" w:ascii="方正仿宋简体" w:hAnsi="方正仿宋简体" w:eastAsia="方正仿宋简体" w:cs="方正仿宋简体"/>
                <w:color w:val="000000"/>
                <w:kern w:val="0"/>
                <w:sz w:val="28"/>
                <w:szCs w:val="28"/>
                <w:lang w:val="en-US"/>
              </w:rPr>
            </w:pPr>
            <w:r>
              <w:rPr>
                <w:rFonts w:hint="eastAsia" w:ascii="方正仿宋简体" w:hAnsi="方正仿宋简体" w:eastAsia="方正仿宋简体" w:cs="方正仿宋简体"/>
                <w:color w:val="000000"/>
                <w:kern w:val="0"/>
                <w:sz w:val="28"/>
                <w:szCs w:val="28"/>
                <w:lang w:val="en-US" w:eastAsia="zh-CN" w:bidi="ar"/>
              </w:rPr>
              <w:t>每人20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kern w:val="2"/>
                <w:sz w:val="28"/>
                <w:szCs w:val="28"/>
                <w:lang w:val="en-US" w:eastAsia="zh-CN" w:bidi="ar-SA"/>
              </w:rPr>
            </w:pPr>
            <w:r>
              <w:rPr>
                <w:rFonts w:hint="eastAsia" w:ascii="方正仿宋简体" w:hAnsi="方正仿宋简体" w:eastAsia="方正仿宋简体" w:cs="方正仿宋简体"/>
                <w:color w:val="000000"/>
                <w:kern w:val="0"/>
                <w:sz w:val="28"/>
                <w:szCs w:val="28"/>
                <w:lang w:val="en-US" w:eastAsia="zh-CN" w:bidi="ar"/>
              </w:rPr>
              <w:t>意外伤害医疗</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lang w:val="en-US" w:eastAsia="zh-CN" w:bidi="ar-SA"/>
              </w:rPr>
            </w:pPr>
            <w:r>
              <w:rPr>
                <w:rFonts w:hint="eastAsia" w:ascii="方正仿宋简体" w:hAnsi="方正仿宋简体" w:eastAsia="方正仿宋简体" w:cs="方正仿宋简体"/>
                <w:color w:val="000000"/>
                <w:kern w:val="0"/>
                <w:sz w:val="28"/>
                <w:szCs w:val="28"/>
                <w:lang w:val="en-US" w:eastAsia="zh-CN" w:bidi="ar"/>
              </w:rPr>
              <w:t>每人 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kern w:val="0"/>
                <w:sz w:val="28"/>
                <w:szCs w:val="28"/>
                <w:lang w:val="en-US" w:eastAsia="zh-CN" w:bidi="ar-SA"/>
              </w:rPr>
            </w:pPr>
            <w:r>
              <w:rPr>
                <w:rFonts w:hint="eastAsia" w:ascii="方正仿宋简体" w:hAnsi="方正仿宋简体" w:eastAsia="方正仿宋简体" w:cs="方正仿宋简体"/>
                <w:color w:val="000000"/>
                <w:kern w:val="0"/>
                <w:sz w:val="28"/>
                <w:szCs w:val="28"/>
                <w:lang w:val="en-US" w:eastAsia="zh-CN" w:bidi="ar"/>
              </w:rPr>
              <w:t>意外住院津贴</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lang w:val="en-US" w:eastAsia="zh-CN" w:bidi="ar-SA"/>
              </w:rPr>
            </w:pPr>
            <w:r>
              <w:rPr>
                <w:rFonts w:hint="eastAsia" w:ascii="方正仿宋简体" w:hAnsi="方正仿宋简体" w:eastAsia="方正仿宋简体" w:cs="方正仿宋简体"/>
                <w:color w:val="000000"/>
                <w:kern w:val="0"/>
                <w:sz w:val="28"/>
                <w:szCs w:val="28"/>
                <w:lang w:val="en-US" w:eastAsia="zh-CN" w:bidi="ar"/>
              </w:rPr>
              <w:t>每人 1.08万元</w:t>
            </w:r>
          </w:p>
        </w:tc>
      </w:tr>
    </w:tbl>
    <w:p>
      <w:pPr>
        <w:keepNext w:val="0"/>
        <w:keepLines w:val="0"/>
        <w:widowControl/>
        <w:suppressLineNumbers w:val="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附免赔条件：</w:t>
      </w:r>
    </w:p>
    <w:p>
      <w:pPr>
        <w:keepNext w:val="0"/>
        <w:keepLines w:val="0"/>
        <w:widowControl/>
        <w:suppressLineNumbers w:val="0"/>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1.意外伤害医疗：100元免赔额。在保险金额范围内，按90%比例给付医疗保险金。</w:t>
      </w:r>
    </w:p>
    <w:p>
      <w:pPr>
        <w:keepNext w:val="0"/>
        <w:keepLines w:val="0"/>
        <w:widowControl/>
        <w:suppressLineNumbers w:val="0"/>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 </w:t>
      </w:r>
    </w:p>
    <w:p>
      <w:pPr>
        <w:keepNext w:val="0"/>
        <w:keepLines w:val="0"/>
        <w:pageBreakBefore w:val="0"/>
        <w:widowControl/>
        <w:numPr>
          <w:ilvl w:val="0"/>
          <w:numId w:val="0"/>
        </w:numPr>
        <w:suppressLineNumbers w:val="0"/>
        <w:kinsoku/>
        <w:wordWrap/>
        <w:overflowPunct/>
        <w:topLinePunct w:val="0"/>
        <w:autoSpaceDE/>
        <w:autoSpaceDN/>
        <w:bidi w:val="0"/>
        <w:snapToGrid/>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2.意外住院津贴：60元/天，免赔3天，同一保单年度中，同一次住院的意外伤害津贴给予天数以90天为限，累计住院的给付天数以180天为限。</w:t>
      </w:r>
    </w:p>
    <w:p>
      <w:pPr>
        <w:keepNext w:val="0"/>
        <w:keepLines w:val="0"/>
        <w:pageBreakBefore w:val="0"/>
        <w:widowControl/>
        <w:numPr>
          <w:ilvl w:val="0"/>
          <w:numId w:val="0"/>
        </w:numPr>
        <w:suppressLineNumbers w:val="0"/>
        <w:kinsoku/>
        <w:wordWrap/>
        <w:overflowPunct/>
        <w:topLinePunct w:val="0"/>
        <w:autoSpaceDE/>
        <w:autoSpaceDN/>
        <w:bidi w:val="0"/>
        <w:snapToGrid/>
        <w:spacing w:line="600" w:lineRule="exact"/>
        <w:ind w:firstLine="320" w:firstLineChars="1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注：</w:t>
      </w:r>
    </w:p>
    <w:p>
      <w:pPr>
        <w:pStyle w:val="12"/>
        <w:keepNext w:val="0"/>
        <w:keepLines w:val="0"/>
        <w:pageBreakBefore w:val="0"/>
        <w:numPr>
          <w:ilvl w:val="0"/>
          <w:numId w:val="0"/>
        </w:numPr>
        <w:kinsoku/>
        <w:wordWrap/>
        <w:overflowPunct/>
        <w:topLinePunct w:val="0"/>
        <w:autoSpaceDE/>
        <w:autoSpaceDN/>
        <w:bidi w:val="0"/>
        <w:snapToGrid/>
        <w:spacing w:line="600" w:lineRule="exact"/>
        <w:ind w:firstLine="640"/>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kern w:val="2"/>
          <w:sz w:val="32"/>
          <w:szCs w:val="32"/>
          <w:lang w:val="en-US" w:eastAsia="zh-CN" w:bidi="ar-SA"/>
        </w:rPr>
        <w:t>1.暂定22人（工种：码头工人及领班），</w:t>
      </w:r>
      <w:r>
        <w:rPr>
          <w:rFonts w:hint="eastAsia" w:ascii="方正仿宋简体" w:hAnsi="方正仿宋简体" w:eastAsia="方正仿宋简体" w:cs="方正仿宋简体"/>
          <w:bCs/>
          <w:sz w:val="32"/>
          <w:szCs w:val="32"/>
        </w:rPr>
        <w:t>最终</w:t>
      </w:r>
      <w:r>
        <w:rPr>
          <w:rFonts w:hint="eastAsia" w:ascii="方正仿宋简体" w:hAnsi="方正仿宋简体" w:eastAsia="方正仿宋简体" w:cs="方正仿宋简体"/>
          <w:bCs/>
          <w:sz w:val="32"/>
          <w:szCs w:val="32"/>
          <w:lang w:val="en-US" w:eastAsia="zh-CN"/>
        </w:rPr>
        <w:t>人数</w:t>
      </w:r>
      <w:r>
        <w:rPr>
          <w:rFonts w:hint="eastAsia" w:ascii="方正仿宋简体" w:hAnsi="方正仿宋简体" w:eastAsia="方正仿宋简体" w:cs="方正仿宋简体"/>
          <w:bCs/>
          <w:sz w:val="32"/>
          <w:szCs w:val="32"/>
        </w:rPr>
        <w:t>以实际</w:t>
      </w:r>
      <w:r>
        <w:rPr>
          <w:rFonts w:hint="eastAsia" w:ascii="方正仿宋简体" w:hAnsi="方正仿宋简体" w:eastAsia="方正仿宋简体" w:cs="方正仿宋简体"/>
          <w:bCs/>
          <w:sz w:val="32"/>
          <w:szCs w:val="32"/>
          <w:lang w:val="en-US" w:eastAsia="zh-CN"/>
        </w:rPr>
        <w:t>人员</w:t>
      </w:r>
      <w:r>
        <w:rPr>
          <w:rFonts w:hint="eastAsia" w:ascii="方正仿宋简体" w:hAnsi="方正仿宋简体" w:eastAsia="方正仿宋简体" w:cs="方正仿宋简体"/>
          <w:bCs/>
          <w:sz w:val="32"/>
          <w:szCs w:val="32"/>
        </w:rPr>
        <w:t>清单数据为准</w:t>
      </w:r>
      <w:r>
        <w:rPr>
          <w:rFonts w:hint="eastAsia" w:ascii="方正仿宋简体" w:hAnsi="方正仿宋简体" w:eastAsia="方正仿宋简体" w:cs="方正仿宋简体"/>
          <w:bCs/>
          <w:sz w:val="32"/>
          <w:szCs w:val="32"/>
          <w:lang w:eastAsia="zh-CN"/>
        </w:rPr>
        <w:t>；</w:t>
      </w:r>
    </w:p>
    <w:p>
      <w:pPr>
        <w:keepNext w:val="0"/>
        <w:keepLines w:val="0"/>
        <w:pageBreakBefore w:val="0"/>
        <w:widowControl/>
        <w:suppressLineNumbers w:val="0"/>
        <w:kinsoku/>
        <w:wordWrap/>
        <w:overflowPunct/>
        <w:topLinePunct w:val="0"/>
        <w:autoSpaceDE/>
        <w:autoSpaceDN/>
        <w:bidi w:val="0"/>
        <w:snapToGrid/>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2.保险期限：2023 年 9 月 26 日至 2024 年 9 月 25 日（具体以实际保单为准）。</w:t>
      </w:r>
    </w:p>
    <w:p>
      <w:pPr>
        <w:keepNext w:val="0"/>
        <w:keepLines w:val="0"/>
        <w:pageBreakBefore w:val="0"/>
        <w:widowControl/>
        <w:numPr>
          <w:ilvl w:val="0"/>
          <w:numId w:val="0"/>
        </w:numPr>
        <w:suppressLineNumbers w:val="0"/>
        <w:kinsoku/>
        <w:wordWrap/>
        <w:overflowPunct/>
        <w:topLinePunct w:val="0"/>
        <w:autoSpaceDE/>
        <w:autoSpaceDN/>
        <w:bidi w:val="0"/>
        <w:snapToGrid/>
        <w:spacing w:line="600" w:lineRule="exact"/>
        <w:ind w:firstLine="320" w:firstLineChars="100"/>
        <w:jc w:val="left"/>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三、投标人资质与要求</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320" w:firstLineChars="1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资质</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投标公司必须是拥有中国银保监会批准开展财产保险业务的资格，且必须在镇江市有设立分（支)公司。</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本次投标公司必须符合下列条件：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1.具有合法的企业营业执照以及相关资质证明。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2.投标公司代表必须是公司的法定负责人或授权代理人。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3.投标公司在承保安排、人员组织、业绩经验、方案设计、经营管理和配套服务等方面具有相关的资格和能力。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4.投标公司参加此次招标事项前三年内，在经营活动中没有重大违法记录。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5.投标公司具有良好的银行资信和商业信誉，没有处于被责令停业、财产被接管、冻结、破产状态。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6.投标公司具有承保本次招标公司提出险种的经营范围。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综合情况要求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评标小组本着公平、公正的原则进行评标，按照百分制对各投标单位资质、服务质量、荣誉、偿付能力充足率、业务能力进行综合评分，综合评分</w:t>
      </w:r>
      <w:r>
        <w:rPr>
          <w:rFonts w:hint="eastAsia" w:ascii="方正仿宋简体" w:hAnsi="方正仿宋简体" w:eastAsia="方正仿宋简体" w:cs="方正仿宋简体"/>
          <w:sz w:val="32"/>
          <w:szCs w:val="32"/>
          <w:lang w:val="en-US" w:eastAsia="zh-CN"/>
        </w:rPr>
        <w:t>需要</w:t>
      </w:r>
      <w:r>
        <w:rPr>
          <w:rFonts w:hint="eastAsia" w:ascii="方正仿宋简体" w:hAnsi="方正仿宋简体" w:eastAsia="方正仿宋简体" w:cs="方正仿宋简体"/>
          <w:sz w:val="32"/>
          <w:szCs w:val="32"/>
        </w:rPr>
        <w:t>达到80分</w:t>
      </w:r>
      <w:r>
        <w:rPr>
          <w:rFonts w:hint="eastAsia" w:ascii="方正仿宋简体" w:hAnsi="方正仿宋简体" w:eastAsia="方正仿宋简体" w:cs="方正仿宋简体"/>
          <w:sz w:val="32"/>
          <w:szCs w:val="32"/>
          <w:lang w:val="en-US" w:eastAsia="zh-CN"/>
        </w:rPr>
        <w:t>方可进入下一轮评标。</w:t>
      </w:r>
    </w:p>
    <w:tbl>
      <w:tblPr>
        <w:tblStyle w:val="13"/>
        <w:tblpPr w:leftFromText="180" w:rightFromText="180" w:vertAnchor="text" w:horzAnchor="page" w:tblpX="868" w:tblpY="524"/>
        <w:tblOverlap w:val="never"/>
        <w:tblW w:w="10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2"/>
        <w:gridCol w:w="2687"/>
        <w:gridCol w:w="2292"/>
        <w:gridCol w:w="3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0682" w:type="dxa"/>
            <w:gridSpan w:val="4"/>
            <w:noWrap w:val="0"/>
            <w:vAlign w:val="top"/>
          </w:tcPr>
          <w:p>
            <w:pPr>
              <w:pStyle w:val="8"/>
              <w:tabs>
                <w:tab w:val="left" w:pos="2977"/>
                <w:tab w:val="left" w:pos="3119"/>
                <w:tab w:val="left" w:pos="8789"/>
              </w:tabs>
              <w:ind w:right="512" w:rightChars="244" w:firstLine="562"/>
              <w:rPr>
                <w:rFonts w:hint="default" w:ascii="宋体" w:hAnsi="宋体" w:eastAsia="黑体"/>
                <w:b/>
                <w:bCs/>
                <w:color w:val="auto"/>
                <w:sz w:val="28"/>
                <w:szCs w:val="28"/>
                <w:lang w:val="en-US" w:eastAsia="zh-CN"/>
              </w:rPr>
            </w:pPr>
            <w:r>
              <w:rPr>
                <w:rFonts w:hint="eastAsia" w:ascii="宋体" w:hAnsi="宋体"/>
                <w:b/>
                <w:bCs/>
                <w:color w:val="auto"/>
                <w:sz w:val="28"/>
                <w:szCs w:val="28"/>
                <w:lang w:val="en-US" w:eastAsia="zh-CN"/>
              </w:rPr>
              <w:t>江苏省物资集团镇江储运开发有限公司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0682" w:type="dxa"/>
            <w:gridSpan w:val="4"/>
            <w:noWrap w:val="0"/>
            <w:vAlign w:val="top"/>
          </w:tcPr>
          <w:p>
            <w:pPr>
              <w:pStyle w:val="8"/>
              <w:tabs>
                <w:tab w:val="left" w:pos="2977"/>
                <w:tab w:val="left" w:pos="3119"/>
                <w:tab w:val="left" w:pos="8789"/>
              </w:tabs>
              <w:ind w:right="512" w:rightChars="244" w:firstLine="562"/>
              <w:rPr>
                <w:rFonts w:ascii="宋体" w:hAnsi="宋体"/>
                <w:b/>
                <w:bCs/>
                <w:color w:val="auto"/>
                <w:sz w:val="28"/>
                <w:szCs w:val="28"/>
              </w:rPr>
            </w:pPr>
            <w:r>
              <w:rPr>
                <w:rFonts w:hint="eastAsia" w:ascii="宋体" w:hAnsi="宋体"/>
                <w:b/>
                <w:bCs/>
                <w:color w:val="auto"/>
                <w:sz w:val="28"/>
                <w:szCs w:val="28"/>
              </w:rPr>
              <w:t>综合评分表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682" w:type="dxa"/>
            <w:gridSpan w:val="4"/>
            <w:noWrap w:val="0"/>
            <w:vAlign w:val="top"/>
          </w:tcPr>
          <w:p>
            <w:pPr>
              <w:pStyle w:val="8"/>
              <w:tabs>
                <w:tab w:val="left" w:pos="2977"/>
                <w:tab w:val="left" w:pos="3119"/>
                <w:tab w:val="left" w:pos="8789"/>
              </w:tabs>
              <w:ind w:right="512" w:rightChars="244" w:firstLine="562"/>
              <w:rPr>
                <w:rFonts w:ascii="宋体" w:hAnsi="宋体"/>
                <w:color w:val="auto"/>
                <w:sz w:val="28"/>
                <w:szCs w:val="28"/>
              </w:rPr>
            </w:pPr>
            <w:r>
              <w:rPr>
                <w:rFonts w:hint="eastAsia" w:ascii="宋体" w:hAnsi="宋体"/>
                <w:b/>
                <w:bCs/>
                <w:color w:val="auto"/>
                <w:sz w:val="28"/>
                <w:szCs w:val="28"/>
              </w:rPr>
              <w:t>项目名称：2023年度</w:t>
            </w:r>
            <w:r>
              <w:rPr>
                <w:rFonts w:hint="eastAsia" w:ascii="宋体" w:hAnsi="宋体"/>
                <w:b/>
                <w:bCs/>
                <w:color w:val="auto"/>
                <w:sz w:val="28"/>
                <w:szCs w:val="28"/>
                <w:lang w:val="en-US" w:eastAsia="zh-CN"/>
              </w:rPr>
              <w:t>储运团体人身意外伤害险</w:t>
            </w:r>
            <w:r>
              <w:rPr>
                <w:rFonts w:hint="eastAsia" w:ascii="宋体" w:hAnsi="宋体"/>
                <w:b/>
                <w:bCs/>
                <w:color w:val="auto"/>
                <w:sz w:val="28"/>
                <w:szCs w:val="28"/>
              </w:rPr>
              <w:t xml:space="preserve">保险招标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952" w:type="dxa"/>
            <w:vMerge w:val="restart"/>
            <w:noWrap w:val="0"/>
            <w:vAlign w:val="center"/>
          </w:tcPr>
          <w:p>
            <w:pPr>
              <w:pStyle w:val="8"/>
              <w:tabs>
                <w:tab w:val="left" w:pos="2977"/>
                <w:tab w:val="left" w:pos="3119"/>
                <w:tab w:val="left" w:pos="8789"/>
              </w:tabs>
              <w:spacing w:after="240" w:line="1680" w:lineRule="auto"/>
              <w:ind w:right="512" w:rightChars="244" w:firstLine="105" w:firstLineChars="50"/>
              <w:jc w:val="center"/>
              <w:rPr>
                <w:rFonts w:ascii="宋体" w:hAnsi="宋体"/>
                <w:color w:val="auto"/>
                <w:sz w:val="21"/>
                <w:szCs w:val="21"/>
              </w:rPr>
            </w:pPr>
            <w:r>
              <w:rPr>
                <w:rFonts w:hint="eastAsia" w:ascii="宋体" w:hAnsi="宋体"/>
                <w:color w:val="auto"/>
                <w:sz w:val="21"/>
                <w:szCs w:val="21"/>
              </w:rPr>
              <w:t>评分项</w:t>
            </w:r>
          </w:p>
        </w:tc>
        <w:tc>
          <w:tcPr>
            <w:tcW w:w="2687" w:type="dxa"/>
            <w:noWrap w:val="0"/>
            <w:vAlign w:val="center"/>
          </w:tcPr>
          <w:p>
            <w:pPr>
              <w:pStyle w:val="8"/>
              <w:tabs>
                <w:tab w:val="left" w:pos="2977"/>
                <w:tab w:val="left" w:pos="3119"/>
                <w:tab w:val="left" w:pos="8789"/>
              </w:tabs>
              <w:ind w:right="512" w:rightChars="244" w:firstLine="0" w:firstLineChars="0"/>
              <w:jc w:val="center"/>
              <w:rPr>
                <w:rFonts w:ascii="宋体" w:hAnsi="宋体"/>
                <w:color w:val="auto"/>
                <w:sz w:val="21"/>
                <w:szCs w:val="21"/>
              </w:rPr>
            </w:pPr>
            <w:r>
              <w:rPr>
                <w:rFonts w:hint="eastAsia" w:ascii="宋体" w:hAnsi="宋体"/>
                <w:color w:val="auto"/>
                <w:sz w:val="21"/>
                <w:szCs w:val="21"/>
              </w:rPr>
              <w:t>资质</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20</w:t>
            </w:r>
          </w:p>
        </w:tc>
        <w:tc>
          <w:tcPr>
            <w:tcW w:w="3751"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952" w:type="dxa"/>
            <w:vMerge w:val="continue"/>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c>
          <w:tcPr>
            <w:tcW w:w="2687" w:type="dxa"/>
            <w:noWrap w:val="0"/>
            <w:vAlign w:val="center"/>
          </w:tcPr>
          <w:p>
            <w:pPr>
              <w:pStyle w:val="8"/>
              <w:tabs>
                <w:tab w:val="left" w:pos="2977"/>
                <w:tab w:val="left" w:pos="3119"/>
                <w:tab w:val="left" w:pos="8789"/>
              </w:tabs>
              <w:ind w:left="840" w:right="512" w:rightChars="244" w:hanging="840" w:hangingChars="400"/>
              <w:jc w:val="center"/>
              <w:rPr>
                <w:rFonts w:ascii="宋体" w:hAnsi="宋体"/>
                <w:color w:val="auto"/>
                <w:sz w:val="21"/>
                <w:szCs w:val="21"/>
              </w:rPr>
            </w:pPr>
            <w:r>
              <w:rPr>
                <w:rFonts w:hint="eastAsia" w:ascii="宋体" w:hAnsi="宋体"/>
                <w:color w:val="auto"/>
                <w:sz w:val="21"/>
                <w:szCs w:val="21"/>
              </w:rPr>
              <w:t>服务质量</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20</w:t>
            </w:r>
          </w:p>
        </w:tc>
        <w:tc>
          <w:tcPr>
            <w:tcW w:w="3751"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952" w:type="dxa"/>
            <w:vMerge w:val="continue"/>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c>
          <w:tcPr>
            <w:tcW w:w="2687" w:type="dxa"/>
            <w:noWrap w:val="0"/>
            <w:vAlign w:val="center"/>
          </w:tcPr>
          <w:p>
            <w:pPr>
              <w:pStyle w:val="8"/>
              <w:tabs>
                <w:tab w:val="left" w:pos="2977"/>
                <w:tab w:val="left" w:pos="3119"/>
                <w:tab w:val="left" w:pos="8789"/>
              </w:tabs>
              <w:ind w:right="512" w:rightChars="244" w:firstLine="0" w:firstLineChars="0"/>
              <w:jc w:val="center"/>
              <w:rPr>
                <w:rFonts w:ascii="宋体" w:hAnsi="宋体"/>
                <w:color w:val="auto"/>
                <w:sz w:val="21"/>
                <w:szCs w:val="21"/>
              </w:rPr>
            </w:pPr>
            <w:r>
              <w:rPr>
                <w:rFonts w:hint="eastAsia" w:ascii="宋体" w:hAnsi="宋体"/>
                <w:color w:val="auto"/>
                <w:sz w:val="21"/>
                <w:szCs w:val="21"/>
              </w:rPr>
              <w:t>荣誉</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15</w:t>
            </w:r>
          </w:p>
        </w:tc>
        <w:tc>
          <w:tcPr>
            <w:tcW w:w="3751"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952" w:type="dxa"/>
            <w:vMerge w:val="continue"/>
            <w:noWrap w:val="0"/>
            <w:vAlign w:val="center"/>
          </w:tcPr>
          <w:p>
            <w:pPr>
              <w:pStyle w:val="8"/>
              <w:tabs>
                <w:tab w:val="left" w:pos="2977"/>
                <w:tab w:val="left" w:pos="3119"/>
                <w:tab w:val="left" w:pos="8789"/>
              </w:tabs>
              <w:ind w:right="512" w:rightChars="244" w:firstLine="420"/>
              <w:jc w:val="center"/>
              <w:rPr>
                <w:rFonts w:hint="eastAsia" w:ascii="宋体" w:hAnsi="宋体"/>
                <w:color w:val="auto"/>
                <w:sz w:val="21"/>
                <w:szCs w:val="21"/>
              </w:rPr>
            </w:pPr>
          </w:p>
        </w:tc>
        <w:tc>
          <w:tcPr>
            <w:tcW w:w="2687" w:type="dxa"/>
            <w:noWrap w:val="0"/>
            <w:vAlign w:val="center"/>
          </w:tcPr>
          <w:p>
            <w:pPr>
              <w:pStyle w:val="8"/>
              <w:tabs>
                <w:tab w:val="left" w:pos="2977"/>
                <w:tab w:val="left" w:pos="3119"/>
                <w:tab w:val="left" w:pos="8789"/>
              </w:tabs>
              <w:ind w:right="512" w:rightChars="244" w:firstLine="0" w:firstLineChars="0"/>
              <w:jc w:val="center"/>
              <w:rPr>
                <w:rFonts w:hint="eastAsia" w:ascii="宋体" w:hAnsi="宋体"/>
                <w:color w:val="auto"/>
                <w:sz w:val="21"/>
                <w:szCs w:val="21"/>
              </w:rPr>
            </w:pPr>
            <w:r>
              <w:rPr>
                <w:rFonts w:hAnsi="黑体"/>
                <w:color w:val="auto"/>
                <w:sz w:val="21"/>
                <w:szCs w:val="21"/>
              </w:rPr>
              <w:t>综合偿付能力充足率</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15</w:t>
            </w:r>
          </w:p>
        </w:tc>
        <w:tc>
          <w:tcPr>
            <w:tcW w:w="3751" w:type="dxa"/>
            <w:noWrap w:val="0"/>
            <w:vAlign w:val="center"/>
          </w:tcPr>
          <w:p>
            <w:pPr>
              <w:pStyle w:val="8"/>
              <w:tabs>
                <w:tab w:val="left" w:pos="2977"/>
                <w:tab w:val="left" w:pos="3119"/>
                <w:tab w:val="left" w:pos="8789"/>
              </w:tabs>
              <w:ind w:right="512" w:rightChars="244" w:firstLine="420"/>
              <w:jc w:val="center"/>
              <w:rPr>
                <w:rFonts w:hint="eastAsia"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952" w:type="dxa"/>
            <w:vMerge w:val="continue"/>
            <w:noWrap w:val="0"/>
            <w:vAlign w:val="center"/>
          </w:tcPr>
          <w:p>
            <w:pPr>
              <w:pStyle w:val="8"/>
              <w:tabs>
                <w:tab w:val="left" w:pos="2977"/>
                <w:tab w:val="left" w:pos="3119"/>
                <w:tab w:val="left" w:pos="8789"/>
              </w:tabs>
              <w:ind w:right="512" w:rightChars="244" w:firstLine="420"/>
              <w:jc w:val="center"/>
              <w:rPr>
                <w:rFonts w:hint="eastAsia" w:ascii="宋体" w:hAnsi="宋体"/>
                <w:color w:val="auto"/>
                <w:sz w:val="21"/>
                <w:szCs w:val="21"/>
              </w:rPr>
            </w:pPr>
          </w:p>
        </w:tc>
        <w:tc>
          <w:tcPr>
            <w:tcW w:w="2687" w:type="dxa"/>
            <w:noWrap w:val="0"/>
            <w:vAlign w:val="center"/>
          </w:tcPr>
          <w:p>
            <w:pPr>
              <w:pStyle w:val="8"/>
              <w:tabs>
                <w:tab w:val="left" w:pos="2977"/>
                <w:tab w:val="left" w:pos="3119"/>
                <w:tab w:val="left" w:pos="8789"/>
              </w:tabs>
              <w:ind w:right="512" w:rightChars="244" w:firstLine="0" w:firstLineChars="0"/>
              <w:jc w:val="center"/>
              <w:rPr>
                <w:rFonts w:hint="eastAsia" w:ascii="宋体" w:hAnsi="宋体"/>
                <w:color w:val="auto"/>
                <w:sz w:val="21"/>
                <w:szCs w:val="21"/>
              </w:rPr>
            </w:pPr>
            <w:r>
              <w:rPr>
                <w:rFonts w:hint="eastAsia" w:hAnsi="黑体"/>
                <w:color w:val="auto"/>
                <w:sz w:val="21"/>
                <w:szCs w:val="21"/>
              </w:rPr>
              <w:t>业务能力</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30</w:t>
            </w:r>
          </w:p>
        </w:tc>
        <w:tc>
          <w:tcPr>
            <w:tcW w:w="3751" w:type="dxa"/>
            <w:noWrap w:val="0"/>
            <w:vAlign w:val="center"/>
          </w:tcPr>
          <w:p>
            <w:pPr>
              <w:pStyle w:val="8"/>
              <w:tabs>
                <w:tab w:val="left" w:pos="2977"/>
                <w:tab w:val="left" w:pos="3119"/>
                <w:tab w:val="left" w:pos="8789"/>
              </w:tabs>
              <w:ind w:right="512" w:rightChars="244" w:firstLine="420"/>
              <w:jc w:val="center"/>
              <w:rPr>
                <w:rFonts w:hint="eastAsia"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4639" w:type="dxa"/>
            <w:gridSpan w:val="2"/>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综合评分</w:t>
            </w:r>
          </w:p>
        </w:tc>
        <w:tc>
          <w:tcPr>
            <w:tcW w:w="2292"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r>
              <w:rPr>
                <w:rFonts w:hint="eastAsia" w:ascii="宋体" w:hAnsi="宋体"/>
                <w:color w:val="auto"/>
                <w:sz w:val="21"/>
                <w:szCs w:val="21"/>
              </w:rPr>
              <w:t>100</w:t>
            </w:r>
          </w:p>
        </w:tc>
        <w:tc>
          <w:tcPr>
            <w:tcW w:w="3751" w:type="dxa"/>
            <w:noWrap w:val="0"/>
            <w:vAlign w:val="center"/>
          </w:tcPr>
          <w:p>
            <w:pPr>
              <w:pStyle w:val="8"/>
              <w:tabs>
                <w:tab w:val="left" w:pos="2977"/>
                <w:tab w:val="left" w:pos="3119"/>
                <w:tab w:val="left" w:pos="8789"/>
              </w:tabs>
              <w:ind w:right="512" w:rightChars="244" w:firstLine="420"/>
              <w:jc w:val="center"/>
              <w:rPr>
                <w:rFonts w:ascii="宋体" w:hAnsi="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682" w:type="dxa"/>
            <w:gridSpan w:val="4"/>
            <w:noWrap w:val="0"/>
            <w:vAlign w:val="top"/>
          </w:tcPr>
          <w:p>
            <w:pPr>
              <w:pStyle w:val="8"/>
              <w:tabs>
                <w:tab w:val="left" w:pos="2977"/>
                <w:tab w:val="left" w:pos="3119"/>
                <w:tab w:val="left" w:pos="8789"/>
              </w:tabs>
              <w:ind w:right="512" w:rightChars="244" w:firstLine="0" w:firstLineChars="0"/>
              <w:jc w:val="left"/>
              <w:rPr>
                <w:rFonts w:hint="eastAsia" w:ascii="宋体" w:hAnsi="宋体"/>
                <w:sz w:val="21"/>
                <w:szCs w:val="21"/>
              </w:rPr>
            </w:pPr>
            <w:r>
              <w:rPr>
                <w:rFonts w:hint="eastAsia" w:ascii="宋体" w:hAnsi="宋体"/>
                <w:sz w:val="21"/>
                <w:szCs w:val="21"/>
              </w:rPr>
              <w:t>注：1、资质（20分）：主要参考投标人的注册资金[100亿（含）以上才得20分，50亿（含）-100亿得15分，50亿（含）以下的不得分]。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682" w:type="dxa"/>
            <w:gridSpan w:val="4"/>
            <w:noWrap w:val="0"/>
            <w:vAlign w:val="top"/>
          </w:tcPr>
          <w:p>
            <w:pPr>
              <w:pStyle w:val="8"/>
              <w:tabs>
                <w:tab w:val="left" w:pos="2977"/>
                <w:tab w:val="left" w:pos="3119"/>
                <w:tab w:val="left" w:pos="8789"/>
              </w:tabs>
              <w:ind w:right="512" w:rightChars="244" w:firstLine="420"/>
              <w:jc w:val="left"/>
              <w:rPr>
                <w:rFonts w:hAnsi="黑体"/>
                <w:color w:val="auto"/>
                <w:sz w:val="21"/>
                <w:szCs w:val="21"/>
              </w:rPr>
            </w:pPr>
            <w:r>
              <w:rPr>
                <w:rFonts w:hint="eastAsia" w:hAnsi="黑体"/>
                <w:color w:val="auto"/>
                <w:sz w:val="21"/>
                <w:szCs w:val="21"/>
              </w:rPr>
              <w:t>2、服务质量（20分）</w:t>
            </w:r>
            <w:r>
              <w:rPr>
                <w:rFonts w:hint="eastAsia" w:ascii="宋体" w:hAnsi="宋体"/>
                <w:color w:val="auto"/>
                <w:sz w:val="21"/>
                <w:szCs w:val="21"/>
              </w:rPr>
              <w:t>：根据中国银保信发布的“2022年度保险服务质量指数结果”，指数结果90（含）-100得20分，指数结果80（含）-90得10分，指数结果80（含）-70得5分，其余不得分。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682" w:type="dxa"/>
            <w:gridSpan w:val="4"/>
            <w:noWrap w:val="0"/>
            <w:vAlign w:val="top"/>
          </w:tcPr>
          <w:p>
            <w:pPr>
              <w:pStyle w:val="8"/>
              <w:tabs>
                <w:tab w:val="left" w:pos="2977"/>
                <w:tab w:val="left" w:pos="3119"/>
                <w:tab w:val="left" w:pos="8789"/>
              </w:tabs>
              <w:ind w:right="512" w:rightChars="244" w:firstLine="420"/>
              <w:jc w:val="left"/>
              <w:rPr>
                <w:rFonts w:hAnsi="黑体"/>
                <w:color w:val="auto"/>
                <w:sz w:val="21"/>
                <w:szCs w:val="21"/>
              </w:rPr>
            </w:pPr>
            <w:r>
              <w:rPr>
                <w:rFonts w:hint="eastAsia" w:hAnsi="黑体"/>
                <w:color w:val="auto"/>
                <w:sz w:val="21"/>
                <w:szCs w:val="21"/>
              </w:rPr>
              <w:t>3、荣誉（15分）：根据投标人提供近三年获得荣誉（奖项、合作）的相关材料，其中，国家级每项得3分，省级每项得2分，</w:t>
            </w:r>
            <w:r>
              <w:rPr>
                <w:rFonts w:hint="eastAsia" w:ascii="宋体" w:hAnsi="宋体"/>
                <w:color w:val="auto"/>
                <w:sz w:val="21"/>
                <w:szCs w:val="21"/>
              </w:rPr>
              <w:t>其余不得分。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682" w:type="dxa"/>
            <w:gridSpan w:val="4"/>
            <w:noWrap w:val="0"/>
            <w:vAlign w:val="top"/>
          </w:tcPr>
          <w:p>
            <w:pPr>
              <w:pStyle w:val="8"/>
              <w:tabs>
                <w:tab w:val="left" w:pos="2977"/>
                <w:tab w:val="left" w:pos="3119"/>
                <w:tab w:val="left" w:pos="8789"/>
              </w:tabs>
              <w:ind w:right="512" w:rightChars="244" w:firstLine="420"/>
              <w:jc w:val="left"/>
              <w:rPr>
                <w:rFonts w:hint="eastAsia" w:hAnsi="黑体"/>
                <w:color w:val="auto"/>
                <w:sz w:val="21"/>
                <w:szCs w:val="21"/>
              </w:rPr>
            </w:pPr>
            <w:r>
              <w:rPr>
                <w:rFonts w:hint="eastAsia" w:hAnsi="黑体"/>
                <w:color w:val="auto"/>
                <w:sz w:val="21"/>
                <w:szCs w:val="21"/>
              </w:rPr>
              <w:t>4、偿付能力充足率（15分）：参考投标人提供的2022</w:t>
            </w:r>
            <w:r>
              <w:rPr>
                <w:rFonts w:hAnsi="黑体"/>
                <w:color w:val="auto"/>
                <w:sz w:val="21"/>
                <w:szCs w:val="21"/>
              </w:rPr>
              <w:t>年年度综合偿付能力充足率数据</w:t>
            </w:r>
            <w:r>
              <w:rPr>
                <w:rFonts w:hint="eastAsia" w:hAnsi="黑体"/>
                <w:color w:val="auto"/>
                <w:sz w:val="21"/>
                <w:szCs w:val="21"/>
              </w:rPr>
              <w:t>，达到200%及以上的得15分，100%（含）-200%的得10分，低于100%的不得分。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0682" w:type="dxa"/>
            <w:gridSpan w:val="4"/>
            <w:noWrap w:val="0"/>
            <w:vAlign w:val="top"/>
          </w:tcPr>
          <w:p>
            <w:pPr>
              <w:tabs>
                <w:tab w:val="left" w:pos="0"/>
                <w:tab w:val="left" w:pos="1134"/>
              </w:tabs>
              <w:adjustRightInd w:val="0"/>
              <w:snapToGrid w:val="0"/>
              <w:spacing w:line="360" w:lineRule="auto"/>
              <w:ind w:firstLine="420" w:firstLineChars="200"/>
              <w:rPr>
                <w:rFonts w:hint="eastAsia" w:ascii="黑体" w:hAnsi="黑体" w:eastAsia="黑体" w:cs="宋体"/>
                <w:color w:val="auto"/>
                <w:szCs w:val="21"/>
              </w:rPr>
            </w:pPr>
            <w:r>
              <w:rPr>
                <w:rFonts w:hint="eastAsia" w:ascii="黑体" w:hAnsi="黑体" w:eastAsia="黑体"/>
                <w:color w:val="auto"/>
                <w:szCs w:val="21"/>
              </w:rPr>
              <w:t>5、业务能力（30）：</w:t>
            </w:r>
            <w:r>
              <w:rPr>
                <w:rFonts w:hint="eastAsia" w:ascii="黑体" w:hAnsi="黑体" w:eastAsia="黑体" w:cs="宋体"/>
                <w:color w:val="auto"/>
                <w:szCs w:val="21"/>
              </w:rPr>
              <w:t>投标人销售人员、理赔人员中，每有1人具有金融、保险、医学等专业具有本科及以上学历的得1分，满分10分（须提供近三个月社会保险缴纳证明）。类似项目承保经验，有承保类似20</w:t>
            </w:r>
            <w:r>
              <w:rPr>
                <w:rFonts w:hint="eastAsia" w:ascii="黑体" w:hAnsi="黑体" w:eastAsia="黑体" w:cs="宋体"/>
                <w:color w:val="auto"/>
                <w:szCs w:val="21"/>
                <w:lang w:val="en-US" w:eastAsia="zh-CN"/>
              </w:rPr>
              <w:t>人以上人身意外伤害险</w:t>
            </w:r>
            <w:r>
              <w:rPr>
                <w:rFonts w:hint="eastAsia" w:ascii="黑体" w:hAnsi="黑体" w:eastAsia="黑体" w:cs="宋体"/>
                <w:color w:val="auto"/>
                <w:szCs w:val="21"/>
              </w:rPr>
              <w:t xml:space="preserve">保险项目经验有一例得2分，满分20分。  </w:t>
            </w:r>
          </w:p>
          <w:p>
            <w:pPr>
              <w:tabs>
                <w:tab w:val="left" w:pos="0"/>
                <w:tab w:val="left" w:pos="1134"/>
              </w:tabs>
              <w:adjustRightInd w:val="0"/>
              <w:snapToGrid w:val="0"/>
              <w:spacing w:line="360" w:lineRule="auto"/>
              <w:ind w:firstLine="420" w:firstLineChars="200"/>
              <w:rPr>
                <w:rFonts w:hint="eastAsia" w:hAnsi="黑体"/>
                <w:color w:val="auto"/>
                <w:szCs w:val="21"/>
              </w:rPr>
            </w:pPr>
            <w:r>
              <w:rPr>
                <w:rFonts w:hint="eastAsia" w:ascii="黑体" w:hAnsi="黑体" w:eastAsia="黑体" w:cs="宋体"/>
                <w:color w:val="auto"/>
                <w:szCs w:val="21"/>
              </w:rPr>
              <w:t>注：本项须填写《服务团队成员基本情况汇总表》。</w:t>
            </w:r>
          </w:p>
        </w:tc>
      </w:tr>
    </w:tbl>
    <w:p>
      <w:pPr>
        <w:pStyle w:val="8"/>
        <w:spacing w:line="500" w:lineRule="exact"/>
        <w:ind w:firstLine="560"/>
        <w:jc w:val="both"/>
        <w:rPr>
          <w:rFonts w:hint="eastAsia" w:ascii="方正仿宋简体" w:hAnsi="方正仿宋简体" w:eastAsia="方正仿宋简体" w:cs="方正仿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lang w:eastAsia="zh-CN"/>
        </w:rPr>
        <w:t>投标文件格式要求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投标文件需提交以下材料，并按照招标须知第四条要求装订成册：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w:t>
      </w:r>
      <w:r>
        <w:rPr>
          <w:rFonts w:hint="eastAsia" w:ascii="方正仿宋简体" w:hAnsi="方正仿宋简体" w:eastAsia="方正仿宋简体" w:cs="方正仿宋简体"/>
          <w:sz w:val="32"/>
          <w:szCs w:val="32"/>
          <w:highlight w:val="none"/>
          <w:lang w:val="en-US" w:eastAsia="zh-CN"/>
        </w:rPr>
        <w:t>报价函</w:t>
      </w:r>
      <w:r>
        <w:rPr>
          <w:rFonts w:hint="eastAsia" w:ascii="方正仿宋简体" w:hAnsi="方正仿宋简体" w:eastAsia="方正仿宋简体" w:cs="方正仿宋简体"/>
          <w:sz w:val="32"/>
          <w:szCs w:val="32"/>
          <w:highlight w:val="none"/>
        </w:rPr>
        <w:t>（格式按我公司提供的模板，需加盖公章）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2.营业执照副本（复印件，要求清晰反映企业法人年检情况记录和经营范围）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3.保险业务许可证、资质证书、有关鉴定材料及相关荣誉等（复印件）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sz w:val="32"/>
          <w:szCs w:val="32"/>
          <w:highlight w:val="none"/>
          <w:lang w:val="en-US" w:eastAsia="zh-CN"/>
        </w:rPr>
        <w:t>4</w:t>
      </w:r>
      <w:r>
        <w:rPr>
          <w:rFonts w:hint="eastAsia" w:ascii="方正仿宋简体" w:hAnsi="方正仿宋简体" w:eastAsia="方正仿宋简体" w:cs="方正仿宋简体"/>
          <w:sz w:val="32"/>
          <w:szCs w:val="32"/>
          <w:highlight w:val="none"/>
        </w:rPr>
        <w:t>.投标公司综合情况（</w:t>
      </w:r>
      <w:r>
        <w:rPr>
          <w:rFonts w:hint="eastAsia" w:ascii="方正仿宋简体" w:hAnsi="方正仿宋简体" w:eastAsia="方正仿宋简体" w:cs="方正仿宋简体"/>
          <w:sz w:val="32"/>
          <w:szCs w:val="32"/>
          <w:highlight w:val="none"/>
          <w:lang w:val="en-US" w:eastAsia="zh-CN"/>
        </w:rPr>
        <w:t>服务质量</w:t>
      </w:r>
      <w:r>
        <w:rPr>
          <w:rFonts w:hint="eastAsia" w:ascii="方正仿宋简体" w:hAnsi="方正仿宋简体" w:eastAsia="方正仿宋简体" w:cs="方正仿宋简体"/>
          <w:sz w:val="32"/>
          <w:szCs w:val="32"/>
          <w:highlight w:val="none"/>
        </w:rPr>
        <w:t>、综合偿付能力充足率</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业务能力</w:t>
      </w:r>
      <w:r>
        <w:rPr>
          <w:rFonts w:hint="eastAsia" w:ascii="方正仿宋简体" w:hAnsi="方正仿宋简体" w:eastAsia="方正仿宋简体" w:cs="方正仿宋简体"/>
          <w:color w:val="auto"/>
          <w:sz w:val="32"/>
          <w:szCs w:val="32"/>
          <w:highlight w:val="none"/>
        </w:rPr>
        <w:t>，部分需提供合同原件或扫描件）</w:t>
      </w:r>
    </w:p>
    <w:p>
      <w:pPr>
        <w:pStyle w:val="12"/>
        <w:ind w:left="0" w:leftChars="0" w:firstLine="640" w:firstLineChars="200"/>
        <w:rPr>
          <w:rFonts w:hint="default" w:eastAsia="方正仿宋简体"/>
          <w:color w:val="auto"/>
          <w:lang w:val="en-US" w:eastAsia="zh-CN"/>
        </w:rPr>
      </w:pPr>
      <w:r>
        <w:rPr>
          <w:rFonts w:hint="eastAsia" w:eastAsia="方正仿宋简体"/>
          <w:color w:val="auto"/>
          <w:lang w:val="en-US" w:eastAsia="zh-CN"/>
        </w:rPr>
        <w:t>5.投标公司在承保安排、人员组织、业绩经验、方案设计、经营管理和配套服务等方面需提供相对应的资格和能力保险服务方案。</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sz w:val="32"/>
          <w:szCs w:val="32"/>
          <w:u w:val="single"/>
          <w:lang w:val="en-US" w:eastAsia="zh-CN"/>
        </w:rPr>
        <w:t>一次性网银支付</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rPr>
        <w:t>招标方自收到</w:t>
      </w:r>
      <w:r>
        <w:rPr>
          <w:rFonts w:hint="eastAsia" w:ascii="方正仿宋简体" w:hAnsi="方正仿宋简体" w:eastAsia="方正仿宋简体" w:cs="方正仿宋简体"/>
          <w:sz w:val="32"/>
          <w:szCs w:val="32"/>
          <w:u w:val="single"/>
          <w:lang w:val="en-US" w:eastAsia="zh-CN"/>
        </w:rPr>
        <w:t>中标方开出保单</w:t>
      </w:r>
      <w:r>
        <w:rPr>
          <w:rFonts w:hint="eastAsia" w:ascii="方正仿宋简体" w:hAnsi="方正仿宋简体" w:eastAsia="方正仿宋简体" w:cs="方正仿宋简体"/>
          <w:sz w:val="32"/>
          <w:szCs w:val="32"/>
          <w:u w:val="single"/>
        </w:rPr>
        <w:t>并且收到中标方开具的增值税专用发票后</w:t>
      </w:r>
      <w:r>
        <w:rPr>
          <w:rFonts w:hint="eastAsia" w:ascii="方正仿宋简体" w:hAnsi="方正仿宋简体" w:eastAsia="方正仿宋简体" w:cs="方正仿宋简体"/>
          <w:sz w:val="32"/>
          <w:szCs w:val="32"/>
          <w:u w:val="single"/>
          <w:lang w:val="en-US" w:eastAsia="zh-CN"/>
        </w:rPr>
        <w:t>20个工作日内</w:t>
      </w:r>
      <w:r>
        <w:rPr>
          <w:rFonts w:hint="eastAsia" w:ascii="方正仿宋简体" w:hAnsi="方正仿宋简体" w:eastAsia="方正仿宋简体" w:cs="方正仿宋简体"/>
          <w:sz w:val="32"/>
          <w:szCs w:val="32"/>
          <w:u w:val="single"/>
        </w:rPr>
        <w:t>以</w:t>
      </w:r>
      <w:r>
        <w:rPr>
          <w:rFonts w:hint="eastAsia" w:ascii="方正仿宋简体" w:hAnsi="方正仿宋简体" w:eastAsia="方正仿宋简体" w:cs="方正仿宋简体"/>
          <w:sz w:val="32"/>
          <w:szCs w:val="32"/>
          <w:u w:val="single"/>
          <w:lang w:val="en-US" w:eastAsia="zh-CN"/>
        </w:rPr>
        <w:t>网银</w:t>
      </w:r>
      <w:r>
        <w:rPr>
          <w:rFonts w:hint="eastAsia" w:ascii="方正仿宋简体" w:hAnsi="方正仿宋简体" w:eastAsia="方正仿宋简体" w:cs="方正仿宋简体"/>
          <w:sz w:val="32"/>
          <w:szCs w:val="32"/>
          <w:u w:val="single"/>
        </w:rPr>
        <w:t>方式付款</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w:t>
      </w:r>
      <w:r>
        <w:rPr>
          <w:rFonts w:hint="eastAsia" w:ascii="方正仿宋简体" w:hAnsi="方正仿宋简体" w:eastAsia="方正仿宋简体" w:cs="方正仿宋简体"/>
          <w:bCs/>
          <w:color w:val="auto"/>
          <w:kern w:val="1"/>
          <w:sz w:val="32"/>
          <w:szCs w:val="32"/>
          <w:highlight w:val="none"/>
          <w:lang w:val="en-US" w:eastAsia="zh-CN"/>
        </w:rPr>
        <w:t>采用</w:t>
      </w:r>
      <w:r>
        <w:rPr>
          <w:rFonts w:hint="eastAsia" w:ascii="方正仿宋简体" w:hAnsi="方正仿宋简体" w:eastAsia="方正仿宋简体" w:cs="方正仿宋简体"/>
          <w:bCs/>
          <w:color w:val="auto"/>
          <w:kern w:val="1"/>
          <w:sz w:val="32"/>
          <w:szCs w:val="32"/>
        </w:rPr>
        <w:t>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贰</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公司：镇江海纳川物流产业发展有限责任公司审计风控部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杭永生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sz w:val="32"/>
          <w:szCs w:val="32"/>
          <w:lang w:val="en-US" w:eastAsia="zh-CN"/>
        </w:rPr>
        <w:t>13913448990</w:t>
      </w:r>
    </w:p>
    <w:p>
      <w:pPr>
        <w:pStyle w:val="12"/>
        <w:rPr>
          <w:rFonts w:hint="default"/>
          <w:lang w:val="en-US" w:eastAsia="zh-CN"/>
        </w:rPr>
      </w:pPr>
      <w:r>
        <w:rPr>
          <w:rFonts w:hint="eastAsia" w:ascii="方正仿宋简体" w:hAnsi="方正仿宋简体" w:eastAsia="方正仿宋简体" w:cs="方正仿宋简体"/>
          <w:sz w:val="32"/>
          <w:szCs w:val="32"/>
          <w:lang w:val="en-US" w:eastAsia="zh-CN"/>
        </w:rPr>
        <w:t xml:space="preserve">            何敏     电话：15805287835</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（1）采取综合评审方法进行打分，并按综合评分由高到低顺序</w:t>
      </w:r>
      <w:bookmarkStart w:id="0" w:name="_GoBack"/>
      <w:bookmarkEnd w:id="0"/>
      <w:r>
        <w:rPr>
          <w:rFonts w:hint="eastAsia" w:ascii="方正仿宋简体" w:hAnsi="方正仿宋简体" w:eastAsia="方正仿宋简体" w:cs="方正仿宋简体"/>
          <w:bCs/>
          <w:color w:val="auto"/>
          <w:kern w:val="1"/>
          <w:sz w:val="32"/>
          <w:szCs w:val="32"/>
          <w:highlight w:val="none"/>
          <w:lang w:val="en-US" w:eastAsia="zh-CN" w:bidi="ar-SA"/>
        </w:rPr>
        <w:t>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FF0000"/>
          <w:sz w:val="32"/>
          <w:szCs w:val="32"/>
          <w:lang w:eastAsia="zh-CN"/>
        </w:rPr>
        <w:t>本次采用</w:t>
      </w:r>
      <w:r>
        <w:rPr>
          <w:rFonts w:hint="eastAsia" w:ascii="方正仿宋简体" w:hAnsi="方正仿宋简体" w:eastAsia="方正仿宋简体" w:cs="方正仿宋简体"/>
          <w:color w:val="FF0000"/>
          <w:sz w:val="32"/>
          <w:szCs w:val="32"/>
          <w:lang w:val="en-US" w:eastAsia="zh-CN"/>
        </w:rPr>
        <w:t>该</w:t>
      </w:r>
      <w:r>
        <w:rPr>
          <w:rFonts w:hint="eastAsia" w:ascii="方正仿宋简体" w:hAnsi="方正仿宋简体" w:eastAsia="方正仿宋简体" w:cs="方正仿宋简体"/>
          <w:color w:val="FF0000"/>
          <w:sz w:val="32"/>
          <w:szCs w:val="32"/>
          <w:lang w:eastAsia="zh-CN"/>
        </w:rPr>
        <w:t>评标方式</w:t>
      </w:r>
      <w:r>
        <w:rPr>
          <w:rFonts w:hint="eastAsia" w:ascii="方正仿宋简体" w:hAnsi="方正仿宋简体" w:eastAsia="方正仿宋简体" w:cs="方正仿宋简体"/>
          <w:color w:val="auto"/>
          <w:sz w:val="32"/>
          <w:szCs w:val="32"/>
          <w:lang w:eastAsia="zh-CN"/>
        </w:rPr>
        <w:t>）</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（1）在能够满足招标人资质、综合情况要求的投标人中选择总投标价最低的一家投标人作为中标候选人。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（一）签订合同</w:t>
      </w:r>
    </w:p>
    <w:p>
      <w:pPr>
        <w:keepNext w:val="0"/>
        <w:keepLines w:val="0"/>
        <w:kinsoku/>
        <w:wordWrap/>
        <w:overflowPunct/>
        <w:topLinePunct w:val="0"/>
        <w:autoSpaceDE/>
        <w:autoSpaceDN/>
        <w:bidi w:val="0"/>
        <w:spacing w:line="600" w:lineRule="exact"/>
        <w:ind w:firstLine="614" w:firstLineChars="192"/>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中标公司收到中标通知后3日内与我公司签订保险合同。合同内容应与招标文件内容保持一致。</w:t>
      </w:r>
    </w:p>
    <w:p>
      <w:pPr>
        <w:pStyle w:val="12"/>
        <w:ind w:left="0" w:leftChars="0" w:firstLine="640" w:firstLineChars="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_GBK" w:hAnsi="方正仿宋_GBK" w:eastAsia="方正仿宋_GBK" w:cs="方正仿宋_GBK"/>
          <w:sz w:val="32"/>
          <w:szCs w:val="32"/>
        </w:rPr>
        <w:t>.</w:t>
      </w:r>
      <w:r>
        <w:rPr>
          <w:rFonts w:hint="eastAsia" w:ascii="方正仿宋简体" w:hAnsi="方正仿宋简体" w:eastAsia="方正仿宋简体" w:cs="方正仿宋简体"/>
          <w:sz w:val="32"/>
          <w:szCs w:val="32"/>
        </w:rPr>
        <w:t>合同一式</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rPr>
        <w:t>份：中标公司一份、我公司</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份。</w:t>
      </w:r>
    </w:p>
    <w:p>
      <w:pPr>
        <w:pStyle w:val="12"/>
        <w:ind w:left="0" w:leftChars="0" w:firstLine="640" w:firstLineChars="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3.本保险如中标人无法独立承保，可进行共保，但在投标文件中需作出说明，中标人必须是首席承保人，并提供共保保险公司保险份额清单及其营业执照。</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（二）保险公司服务机构</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成立工作服务小组，明确负责人，负责协调承保、理赔服务等相关事宜。</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（三）查勘</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lang w:val="en-US" w:eastAsia="zh-CN"/>
        </w:rPr>
        <w:t>1.</w:t>
      </w:r>
      <w:r>
        <w:rPr>
          <w:rFonts w:hint="eastAsia" w:ascii="方正仿宋简体" w:hAnsi="方正仿宋简体" w:eastAsia="方正仿宋简体" w:cs="方正仿宋简体"/>
          <w:sz w:val="32"/>
          <w:szCs w:val="32"/>
        </w:rPr>
        <w:t>设立 365 天无休日，24小时报案、咨询受理电话；</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lang w:val="en-US" w:eastAsia="zh-CN"/>
        </w:rPr>
        <w:t>2.</w:t>
      </w:r>
      <w:r>
        <w:rPr>
          <w:rFonts w:hint="eastAsia" w:ascii="方正仿宋简体" w:hAnsi="方正仿宋简体" w:eastAsia="方正仿宋简体" w:cs="方正仿宋简体"/>
          <w:sz w:val="32"/>
          <w:szCs w:val="32"/>
        </w:rPr>
        <w:t>接到我公司报案后，应迅速组织人员或委托出险当地保险分公司人员赶赴现场查勘，如果财产尚未脱离危险状态，现场查勘人员应立即会同我公司人员或有关部门采取必要合理的措施，尽量减少保险财产的损失。</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bCs/>
          <w:color w:val="auto"/>
          <w:kern w:val="1"/>
          <w:sz w:val="32"/>
          <w:szCs w:val="32"/>
          <w:lang w:val="en-US" w:eastAsia="zh-CN"/>
        </w:rPr>
      </w:pPr>
      <w:r>
        <w:rPr>
          <w:rFonts w:hint="eastAsia" w:ascii="方正楷体_GBK" w:hAnsi="方正楷体_GBK" w:eastAsia="方正楷体_GBK" w:cs="方正楷体_GBK"/>
          <w:bCs/>
          <w:color w:val="auto"/>
          <w:kern w:val="1"/>
          <w:sz w:val="32"/>
          <w:szCs w:val="32"/>
          <w:lang w:val="en-US" w:eastAsia="zh-CN"/>
        </w:rPr>
        <w:t>（四）索赔时效</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我公司将完整的索赔资料提交给保险公司后，保险公司应在七个工作日内将理赔款项支付给我公司。</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如因投标人不能正常履约，严重影响招标人生产经营活动的，招标人将依法追究投标方法律责任。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六</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七</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八</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lang w:val="en-US" w:eastAsia="zh-CN"/>
        </w:rPr>
        <w:t>中供应商管理</w:t>
      </w:r>
      <w:r>
        <w:rPr>
          <w:rFonts w:hint="eastAsia" w:ascii="方正仿宋简体" w:hAnsi="方正仿宋简体" w:eastAsia="方正仿宋简体" w:cs="方正仿宋简体"/>
          <w:bCs/>
          <w:color w:val="auto"/>
          <w:kern w:val="1"/>
          <w:sz w:val="32"/>
          <w:szCs w:val="32"/>
          <w:highlight w:val="none"/>
        </w:rPr>
        <w:t>对投标人进行管理考核（详见附件</w:t>
      </w: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bCs/>
          <w:color w:val="auto"/>
          <w:kern w:val="1"/>
          <w:sz w:val="32"/>
          <w:szCs w:val="32"/>
          <w:highlight w:val="none"/>
          <w:lang w:eastAsia="zh-CN"/>
        </w:rPr>
        <w:t>（九）</w:t>
      </w:r>
      <w:r>
        <w:rPr>
          <w:rFonts w:hint="eastAsia" w:ascii="方正仿宋简体" w:hAnsi="方正仿宋简体" w:eastAsia="方正仿宋简体" w:cs="方正仿宋简体"/>
          <w:bCs/>
          <w:color w:val="auto"/>
          <w:kern w:val="1"/>
          <w:sz w:val="32"/>
          <w:szCs w:val="32"/>
          <w:highlight w:val="none"/>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十</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highlight w:val="none"/>
        </w:rPr>
        <w:t>本次招标</w:t>
      </w:r>
      <w:r>
        <w:rPr>
          <w:rFonts w:hint="eastAsia" w:ascii="方正仿宋简体" w:hAnsi="方正仿宋简体" w:eastAsia="方正仿宋简体" w:cs="方正仿宋简体"/>
          <w:bCs/>
          <w:color w:val="auto"/>
          <w:kern w:val="1"/>
          <w:sz w:val="32"/>
          <w:szCs w:val="32"/>
          <w:highlight w:val="none"/>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highlight w:val="none"/>
        </w:rPr>
        <w:t>解释权归</w:t>
      </w:r>
      <w:r>
        <w:rPr>
          <w:rFonts w:hint="eastAsia" w:ascii="方正仿宋简体" w:hAnsi="方正仿宋简体" w:eastAsia="方正仿宋简体" w:cs="方正仿宋简体"/>
          <w:color w:val="auto"/>
          <w:kern w:val="1"/>
          <w:sz w:val="32"/>
          <w:szCs w:val="32"/>
          <w:lang w:val="en-US" w:eastAsia="zh-CN"/>
        </w:rPr>
        <w:t>江苏省物资集团镇江储运开发有限公司</w:t>
      </w:r>
      <w:r>
        <w:rPr>
          <w:rFonts w:hint="eastAsia" w:ascii="方正仿宋简体" w:hAnsi="方正仿宋简体" w:eastAsia="方正仿宋简体" w:cs="方正仿宋简体"/>
          <w:bCs/>
          <w:color w:val="auto"/>
          <w:kern w:val="1"/>
          <w:sz w:val="32"/>
          <w:szCs w:val="32"/>
          <w:highlight w:val="none"/>
        </w:rPr>
        <w:t>所有。</w:t>
      </w:r>
      <w:r>
        <w:rPr>
          <w:rFonts w:hint="eastAsia" w:ascii="方正仿宋简体" w:hAnsi="方正仿宋简体" w:eastAsia="方正仿宋简体" w:cs="方正仿宋简体"/>
          <w:bCs/>
          <w:color w:val="auto"/>
          <w:kern w:val="1"/>
          <w:sz w:val="32"/>
          <w:szCs w:val="32"/>
        </w:rPr>
        <w:t>　　</w:t>
      </w:r>
    </w:p>
    <w:p>
      <w:pPr>
        <w:rPr>
          <w:rFonts w:hint="eastAsia"/>
        </w:rPr>
      </w:pPr>
      <w:r>
        <w:rPr>
          <w:rFonts w:hint="eastAsia" w:ascii="方正仿宋简体" w:hAnsi="方正仿宋简体" w:eastAsia="方正仿宋简体" w:cs="方正仿宋简体"/>
          <w:bCs/>
          <w:color w:val="auto"/>
          <w:kern w:val="1"/>
          <w:sz w:val="32"/>
          <w:szCs w:val="32"/>
        </w:rPr>
        <w:br w:type="page"/>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江苏省物资集团镇江储运开发有限公司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pPr w:leftFromText="180" w:rightFromText="180" w:vertAnchor="text" w:horzAnchor="page" w:tblpX="2056" w:tblpY="264"/>
        <w:tblOverlap w:val="never"/>
        <w:tblW w:w="8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946"/>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946" w:type="dxa"/>
            <w:vAlign w:val="center"/>
          </w:tcPr>
          <w:p>
            <w:pPr>
              <w:keepNext w:val="0"/>
              <w:keepLines w:val="0"/>
              <w:widowControl/>
              <w:suppressLineNumbers w:val="0"/>
              <w:jc w:val="center"/>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bCs/>
                <w:color w:val="000000"/>
                <w:kern w:val="0"/>
                <w:sz w:val="32"/>
                <w:szCs w:val="32"/>
                <w:lang w:val="en-US" w:eastAsia="zh-CN" w:bidi="ar"/>
              </w:rPr>
              <w:t>保障项目</w:t>
            </w:r>
          </w:p>
        </w:tc>
        <w:tc>
          <w:tcPr>
            <w:tcW w:w="5055" w:type="dxa"/>
            <w:vAlign w:val="center"/>
          </w:tcPr>
          <w:p>
            <w:pPr>
              <w:keepNext w:val="0"/>
              <w:keepLines w:val="0"/>
              <w:widowControl/>
              <w:suppressLineNumbers w:val="0"/>
              <w:jc w:val="center"/>
              <w:rPr>
                <w:rFonts w:hint="default" w:ascii="方正黑体_GBK" w:hAnsi="方正黑体_GBK" w:eastAsia="方正黑体_GBK" w:cs="方正黑体_GBK"/>
                <w:b/>
                <w:color w:val="000000"/>
                <w:sz w:val="32"/>
                <w:szCs w:val="32"/>
                <w:lang w:val="en-US"/>
              </w:rPr>
            </w:pPr>
            <w:r>
              <w:rPr>
                <w:rFonts w:hint="eastAsia" w:ascii="方正黑体_GBK" w:hAnsi="方正黑体_GBK" w:eastAsia="方正黑体_GBK" w:cs="方正黑体_GBK"/>
                <w:b/>
                <w:bCs/>
                <w:color w:val="000000"/>
                <w:kern w:val="0"/>
                <w:sz w:val="32"/>
                <w:szCs w:val="32"/>
                <w:lang w:val="en-US" w:eastAsia="zh-CN" w:bidi="ar"/>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color w:val="000000"/>
                <w:kern w:val="0"/>
                <w:sz w:val="28"/>
                <w:szCs w:val="28"/>
                <w:lang w:val="en-US" w:eastAsia="zh-CN" w:bidi="ar"/>
              </w:rPr>
              <w:t>意外身故</w:t>
            </w:r>
          </w:p>
        </w:tc>
        <w:tc>
          <w:tcPr>
            <w:tcW w:w="5055" w:type="dxa"/>
            <w:vAlign w:val="center"/>
          </w:tcPr>
          <w:p>
            <w:pPr>
              <w:keepNext w:val="0"/>
              <w:keepLines w:val="0"/>
              <w:widowControl/>
              <w:suppressLineNumbers w:val="0"/>
              <w:jc w:val="left"/>
              <w:rPr>
                <w:rFonts w:hint="default" w:ascii="方正仿宋简体" w:hAnsi="方正仿宋简体" w:eastAsia="方正仿宋简体" w:cs="方正仿宋简体"/>
                <w:color w:val="000000"/>
                <w:kern w:val="0"/>
                <w:sz w:val="28"/>
                <w:szCs w:val="28"/>
                <w:lang w:val="en-US"/>
              </w:rPr>
            </w:pPr>
            <w:r>
              <w:rPr>
                <w:rFonts w:hint="eastAsia" w:ascii="方正仿宋简体" w:hAnsi="方正仿宋简体" w:eastAsia="方正仿宋简体" w:cs="方正仿宋简体"/>
                <w:color w:val="000000"/>
                <w:kern w:val="0"/>
                <w:sz w:val="28"/>
                <w:szCs w:val="28"/>
                <w:lang w:val="en-US" w:eastAsia="zh-CN" w:bidi="ar"/>
              </w:rPr>
              <w:t>每人20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default" w:ascii="方正仿宋简体" w:hAnsi="方正仿宋简体" w:eastAsia="方正仿宋简体" w:cs="方正仿宋简体"/>
                <w:bCs/>
                <w:color w:val="000000"/>
                <w:sz w:val="28"/>
                <w:szCs w:val="28"/>
                <w:lang w:val="en-US" w:eastAsia="zh-CN"/>
              </w:rPr>
            </w:pPr>
            <w:r>
              <w:rPr>
                <w:rFonts w:hint="eastAsia" w:ascii="方正仿宋简体" w:hAnsi="方正仿宋简体" w:eastAsia="方正仿宋简体" w:cs="方正仿宋简体"/>
                <w:bCs/>
                <w:color w:val="000000"/>
                <w:sz w:val="28"/>
                <w:szCs w:val="28"/>
                <w:lang w:val="en-US" w:eastAsia="zh-CN"/>
              </w:rPr>
              <w:t>意外伤残</w:t>
            </w:r>
          </w:p>
        </w:tc>
        <w:tc>
          <w:tcPr>
            <w:tcW w:w="5055" w:type="dxa"/>
            <w:vAlign w:val="center"/>
          </w:tcPr>
          <w:p>
            <w:pPr>
              <w:keepNext w:val="0"/>
              <w:keepLines w:val="0"/>
              <w:widowControl/>
              <w:suppressLineNumbers w:val="0"/>
              <w:jc w:val="left"/>
              <w:rPr>
                <w:rFonts w:hint="default" w:ascii="方正仿宋简体" w:hAnsi="方正仿宋简体" w:eastAsia="方正仿宋简体" w:cs="方正仿宋简体"/>
                <w:color w:val="000000"/>
                <w:kern w:val="0"/>
                <w:sz w:val="28"/>
                <w:szCs w:val="28"/>
                <w:lang w:val="en-US"/>
              </w:rPr>
            </w:pPr>
            <w:r>
              <w:rPr>
                <w:rFonts w:hint="eastAsia" w:ascii="方正仿宋简体" w:hAnsi="方正仿宋简体" w:eastAsia="方正仿宋简体" w:cs="方正仿宋简体"/>
                <w:color w:val="000000"/>
                <w:kern w:val="0"/>
                <w:sz w:val="28"/>
                <w:szCs w:val="28"/>
                <w:lang w:val="en-US" w:eastAsia="zh-CN" w:bidi="ar"/>
              </w:rPr>
              <w:t>每人20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kern w:val="2"/>
                <w:sz w:val="28"/>
                <w:szCs w:val="28"/>
                <w:lang w:val="en-US" w:eastAsia="zh-CN" w:bidi="ar-SA"/>
              </w:rPr>
            </w:pPr>
            <w:r>
              <w:rPr>
                <w:rFonts w:hint="eastAsia" w:ascii="方正仿宋简体" w:hAnsi="方正仿宋简体" w:eastAsia="方正仿宋简体" w:cs="方正仿宋简体"/>
                <w:color w:val="000000"/>
                <w:kern w:val="0"/>
                <w:sz w:val="28"/>
                <w:szCs w:val="28"/>
                <w:lang w:val="en-US" w:eastAsia="zh-CN" w:bidi="ar"/>
              </w:rPr>
              <w:t>意外伤害医疗</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lang w:val="en-US" w:eastAsia="zh-CN" w:bidi="ar-SA"/>
              </w:rPr>
            </w:pPr>
            <w:r>
              <w:rPr>
                <w:rFonts w:hint="eastAsia" w:ascii="方正仿宋简体" w:hAnsi="方正仿宋简体" w:eastAsia="方正仿宋简体" w:cs="方正仿宋简体"/>
                <w:color w:val="000000"/>
                <w:kern w:val="0"/>
                <w:sz w:val="28"/>
                <w:szCs w:val="28"/>
                <w:lang w:val="en-US" w:eastAsia="zh-CN" w:bidi="ar"/>
              </w:rPr>
              <w:t>每人 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946" w:type="dxa"/>
            <w:vAlign w:val="center"/>
          </w:tcPr>
          <w:p>
            <w:pPr>
              <w:keepNext w:val="0"/>
              <w:keepLines w:val="0"/>
              <w:widowControl/>
              <w:suppressLineNumbers w:val="0"/>
              <w:jc w:val="left"/>
              <w:rPr>
                <w:rFonts w:hint="eastAsia" w:ascii="方正仿宋简体" w:hAnsi="方正仿宋简体" w:eastAsia="方正仿宋简体" w:cs="方正仿宋简体"/>
                <w:bCs/>
                <w:color w:val="000000"/>
                <w:kern w:val="0"/>
                <w:sz w:val="28"/>
                <w:szCs w:val="28"/>
                <w:lang w:val="en-US" w:eastAsia="zh-CN" w:bidi="ar-SA"/>
              </w:rPr>
            </w:pPr>
            <w:r>
              <w:rPr>
                <w:rFonts w:hint="eastAsia" w:ascii="方正仿宋简体" w:hAnsi="方正仿宋简体" w:eastAsia="方正仿宋简体" w:cs="方正仿宋简体"/>
                <w:color w:val="000000"/>
                <w:kern w:val="0"/>
                <w:sz w:val="28"/>
                <w:szCs w:val="28"/>
                <w:lang w:val="en-US" w:eastAsia="zh-CN" w:bidi="ar"/>
              </w:rPr>
              <w:t>意外住院津贴</w:t>
            </w:r>
          </w:p>
        </w:tc>
        <w:tc>
          <w:tcPr>
            <w:tcW w:w="5055" w:type="dxa"/>
            <w:vAlign w:val="center"/>
          </w:tcPr>
          <w:p>
            <w:pPr>
              <w:keepNext w:val="0"/>
              <w:keepLines w:val="0"/>
              <w:widowControl/>
              <w:suppressLineNumbers w:val="0"/>
              <w:jc w:val="left"/>
              <w:rPr>
                <w:rFonts w:hint="eastAsia" w:ascii="方正仿宋简体" w:hAnsi="方正仿宋简体" w:eastAsia="方正仿宋简体" w:cs="方正仿宋简体"/>
                <w:color w:val="000000"/>
                <w:kern w:val="0"/>
                <w:sz w:val="28"/>
                <w:szCs w:val="28"/>
                <w:lang w:val="en-US" w:eastAsia="zh-CN" w:bidi="ar-SA"/>
              </w:rPr>
            </w:pPr>
            <w:r>
              <w:rPr>
                <w:rFonts w:hint="eastAsia" w:ascii="方正仿宋简体" w:hAnsi="方正仿宋简体" w:eastAsia="方正仿宋简体" w:cs="方正仿宋简体"/>
                <w:color w:val="000000"/>
                <w:kern w:val="0"/>
                <w:sz w:val="28"/>
                <w:szCs w:val="28"/>
                <w:lang w:val="en-US" w:eastAsia="zh-CN" w:bidi="ar"/>
              </w:rPr>
              <w:t>每人 1.08万元</w:t>
            </w:r>
          </w:p>
        </w:tc>
      </w:tr>
    </w:tbl>
    <w:p>
      <w:pPr>
        <w:pStyle w:val="12"/>
        <w:ind w:left="0" w:leftChars="0" w:firstLine="0" w:firstLineChars="0"/>
        <w:rPr>
          <w:rFonts w:hint="default"/>
          <w:u w:val="single"/>
          <w:lang w:val="en-US" w:eastAsia="zh-CN"/>
        </w:rPr>
      </w:pPr>
      <w:r>
        <w:rPr>
          <w:rFonts w:hint="eastAsia"/>
          <w:lang w:val="en-US" w:eastAsia="zh-CN"/>
        </w:rPr>
        <w:t>每人含税价：</w:t>
      </w:r>
      <w:r>
        <w:rPr>
          <w:rFonts w:hint="eastAsia"/>
          <w:u w:val="single"/>
          <w:lang w:val="en-US" w:eastAsia="zh-CN"/>
        </w:rPr>
        <w:t xml:space="preserve">                      元/人/年，</w:t>
      </w:r>
      <w:r>
        <w:rPr>
          <w:rFonts w:hint="eastAsia"/>
          <w:u w:val="none"/>
          <w:lang w:val="en-US" w:eastAsia="zh-CN"/>
        </w:rPr>
        <w:t>（22人）总价：</w:t>
      </w:r>
      <w:r>
        <w:rPr>
          <w:rFonts w:hint="eastAsia"/>
          <w:u w:val="single"/>
          <w:lang w:val="en-US" w:eastAsia="zh-CN"/>
        </w:rPr>
        <w:t xml:space="preserve">           （元/年）。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ind w:firstLine="640" w:firstLineChars="200"/>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3.免赔条件：</w:t>
      </w:r>
    </w:p>
    <w:p>
      <w:pPr>
        <w:keepNext w:val="0"/>
        <w:keepLines w:val="0"/>
        <w:widowControl/>
        <w:suppressLineNumbers w:val="0"/>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（1）意外伤害医疗：100元免赔额。在保险金额范围内，按90%比例给付医疗保险金。</w:t>
      </w:r>
    </w:p>
    <w:p>
      <w:pPr>
        <w:keepNext w:val="0"/>
        <w:keepLines w:val="0"/>
        <w:widowControl/>
        <w:suppressLineNumbers w:val="0"/>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 （2）意外住院津贴：60元/天，免赔3天，同一保单年度中，同一次住院的意外伤害津贴给予天数以90天为限，累计住院的给付天数以180天为限。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FF"/>
          <w:kern w:val="1"/>
          <w:sz w:val="32"/>
          <w:szCs w:val="32"/>
          <w:lang w:eastAsia="zh-CN"/>
        </w:rPr>
      </w:pPr>
      <w:r>
        <w:rPr>
          <w:rFonts w:hint="eastAsia" w:ascii="方正仿宋简体" w:hAnsi="方正仿宋简体" w:eastAsia="方正仿宋简体" w:cs="方正仿宋简体"/>
          <w:color w:val="auto"/>
          <w:kern w:val="1"/>
          <w:sz w:val="32"/>
          <w:szCs w:val="32"/>
          <w:lang w:val="en-US" w:eastAsia="zh-CN"/>
        </w:rPr>
        <w:t>三、</w:t>
      </w:r>
      <w:r>
        <w:rPr>
          <w:rFonts w:hint="eastAsia" w:ascii="方正仿宋简体" w:hAnsi="方正仿宋简体" w:eastAsia="方正仿宋简体" w:cs="方正仿宋简体"/>
          <w:color w:val="auto"/>
          <w:kern w:val="1"/>
          <w:sz w:val="32"/>
          <w:szCs w:val="32"/>
        </w:rPr>
        <w:t>我方承诺遵守招标文件中的全部规定；参加此次招标事项前三年内，在经营活动中没有重大违法记录</w:t>
      </w:r>
      <w:r>
        <w:rPr>
          <w:rFonts w:hint="eastAsia" w:ascii="方正仿宋简体" w:hAnsi="方正仿宋简体" w:eastAsia="方正仿宋简体" w:cs="方正仿宋简体"/>
          <w:color w:val="auto"/>
          <w:kern w:val="1"/>
          <w:sz w:val="32"/>
          <w:szCs w:val="32"/>
          <w:lang w:eastAsia="zh-CN"/>
        </w:rPr>
        <w:t>；有良好的银行资信和商业信誉，没有处于被责令停业、财产被接管、冻结、破产状态；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四、</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val="en-US" w:eastAsia="zh-CN"/>
        </w:rPr>
        <w:t>五、</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val="en-US" w:eastAsia="zh-CN"/>
        </w:rPr>
        <w:t>六、</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bCs/>
          <w:color w:val="000000"/>
          <w:kern w:val="1"/>
          <w:sz w:val="32"/>
          <w:szCs w:val="32"/>
          <w:lang w:val="en-US" w:eastAsia="zh-CN"/>
        </w:rPr>
        <w:t>七、投标单位其他说明情况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r>
        <w:rPr>
          <w:rFonts w:hint="eastAsia" w:ascii="方正小标宋简体" w:hAnsi="宋体" w:eastAsia="方正小标宋简体" w:cs="宋体"/>
          <w:b/>
          <w:bCs/>
          <w:sz w:val="32"/>
          <w:szCs w:val="32"/>
        </w:rPr>
        <w:br w:type="page"/>
      </w:r>
    </w:p>
    <w:p>
      <w:pPr>
        <w:pStyle w:val="11"/>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江苏省物资集团镇江储运开发有限公司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3410987"/>
    <w:rsid w:val="046814DB"/>
    <w:rsid w:val="05AC0379"/>
    <w:rsid w:val="06907ABE"/>
    <w:rsid w:val="089A4646"/>
    <w:rsid w:val="08F4320D"/>
    <w:rsid w:val="0A627E55"/>
    <w:rsid w:val="0CCD460E"/>
    <w:rsid w:val="0D6E3A8A"/>
    <w:rsid w:val="0E243A05"/>
    <w:rsid w:val="1229294F"/>
    <w:rsid w:val="123650F9"/>
    <w:rsid w:val="12BF51C2"/>
    <w:rsid w:val="1444244B"/>
    <w:rsid w:val="14EA645D"/>
    <w:rsid w:val="19181A3A"/>
    <w:rsid w:val="1BF82A57"/>
    <w:rsid w:val="225D796E"/>
    <w:rsid w:val="24150BCD"/>
    <w:rsid w:val="24EC6623"/>
    <w:rsid w:val="262D3A65"/>
    <w:rsid w:val="263C4E62"/>
    <w:rsid w:val="2BBD3669"/>
    <w:rsid w:val="2E16582B"/>
    <w:rsid w:val="2E4116FA"/>
    <w:rsid w:val="31262BAF"/>
    <w:rsid w:val="31E30FE1"/>
    <w:rsid w:val="3297427A"/>
    <w:rsid w:val="330F093A"/>
    <w:rsid w:val="3460678D"/>
    <w:rsid w:val="34E37CA8"/>
    <w:rsid w:val="359E47FF"/>
    <w:rsid w:val="35B72FCB"/>
    <w:rsid w:val="35DA3E68"/>
    <w:rsid w:val="379A3E49"/>
    <w:rsid w:val="391E61C3"/>
    <w:rsid w:val="3BAC14E4"/>
    <w:rsid w:val="3E9042AA"/>
    <w:rsid w:val="408F2757"/>
    <w:rsid w:val="416D2207"/>
    <w:rsid w:val="43EC12FF"/>
    <w:rsid w:val="43EF75F5"/>
    <w:rsid w:val="44E509D4"/>
    <w:rsid w:val="47F365E3"/>
    <w:rsid w:val="49A11DC9"/>
    <w:rsid w:val="4DC0511E"/>
    <w:rsid w:val="4EC20007"/>
    <w:rsid w:val="4FAC5BC3"/>
    <w:rsid w:val="4FC61FF0"/>
    <w:rsid w:val="4FED6C4F"/>
    <w:rsid w:val="507C2A18"/>
    <w:rsid w:val="50846203"/>
    <w:rsid w:val="52EA737B"/>
    <w:rsid w:val="538763B9"/>
    <w:rsid w:val="55DC546E"/>
    <w:rsid w:val="579C3951"/>
    <w:rsid w:val="596D6B7C"/>
    <w:rsid w:val="5B1F1D55"/>
    <w:rsid w:val="5C6D5F77"/>
    <w:rsid w:val="5CEC747F"/>
    <w:rsid w:val="5EB61954"/>
    <w:rsid w:val="5EF37A25"/>
    <w:rsid w:val="62970423"/>
    <w:rsid w:val="65074105"/>
    <w:rsid w:val="655718E3"/>
    <w:rsid w:val="66202ABE"/>
    <w:rsid w:val="66441755"/>
    <w:rsid w:val="66CF713B"/>
    <w:rsid w:val="67C1041C"/>
    <w:rsid w:val="68961ACE"/>
    <w:rsid w:val="69515E26"/>
    <w:rsid w:val="6D952C9D"/>
    <w:rsid w:val="6D9745DB"/>
    <w:rsid w:val="6F927485"/>
    <w:rsid w:val="6F9E54E7"/>
    <w:rsid w:val="72125C50"/>
    <w:rsid w:val="726141AB"/>
    <w:rsid w:val="7406451D"/>
    <w:rsid w:val="753601CC"/>
    <w:rsid w:val="756A3232"/>
    <w:rsid w:val="77DC1105"/>
    <w:rsid w:val="783458C3"/>
    <w:rsid w:val="7A1E0C67"/>
    <w:rsid w:val="7B044DE1"/>
    <w:rsid w:val="7C4275DA"/>
    <w:rsid w:val="7C5A4544"/>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Normal Indent"/>
    <w:basedOn w:val="1"/>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Indent"/>
    <w:basedOn w:val="1"/>
    <w:unhideWhenUsed/>
    <w:qFormat/>
    <w:uiPriority w:val="0"/>
    <w:pPr>
      <w:spacing w:after="120"/>
      <w:ind w:left="420" w:leftChars="200"/>
    </w:pPr>
  </w:style>
  <w:style w:type="paragraph" w:styleId="8">
    <w:name w:val="Body Text Indent 2"/>
    <w:basedOn w:val="1"/>
    <w:qFormat/>
    <w:uiPriority w:val="99"/>
    <w:pPr>
      <w:ind w:firstLine="1040" w:firstLineChars="200"/>
      <w:jc w:val="center"/>
    </w:pPr>
    <w:rPr>
      <w:rFonts w:ascii="黑体" w:eastAsia="黑体"/>
      <w:sz w:val="5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01"/>
    <w:basedOn w:val="15"/>
    <w:qFormat/>
    <w:uiPriority w:val="0"/>
    <w:rPr>
      <w:rFonts w:hint="eastAsia" w:ascii="宋体" w:hAnsi="宋体" w:eastAsia="宋体" w:cs="宋体"/>
      <w:color w:val="000000"/>
      <w:sz w:val="21"/>
      <w:szCs w:val="21"/>
      <w:u w:val="none"/>
    </w:rPr>
  </w:style>
  <w:style w:type="character" w:customStyle="1" w:styleId="20">
    <w:name w:val="font31"/>
    <w:basedOn w:val="15"/>
    <w:qFormat/>
    <w:uiPriority w:val="0"/>
    <w:rPr>
      <w:rFonts w:hint="default" w:ascii="Times New Roman" w:hAnsi="Times New Roman" w:cs="Times New Roman"/>
      <w:color w:val="000000"/>
      <w:sz w:val="21"/>
      <w:szCs w:val="21"/>
      <w:u w:val="none"/>
    </w:rPr>
  </w:style>
  <w:style w:type="character" w:customStyle="1" w:styleId="21">
    <w:name w:val="font21"/>
    <w:basedOn w:val="15"/>
    <w:qFormat/>
    <w:uiPriority w:val="0"/>
    <w:rPr>
      <w:rFonts w:hint="eastAsia" w:ascii="仿宋" w:hAnsi="仿宋" w:eastAsia="仿宋" w:cs="仿宋"/>
      <w:color w:val="000000"/>
      <w:sz w:val="24"/>
      <w:szCs w:val="24"/>
      <w:u w:val="none"/>
    </w:rPr>
  </w:style>
  <w:style w:type="character" w:customStyle="1" w:styleId="22">
    <w:name w:val="font51"/>
    <w:basedOn w:val="15"/>
    <w:qFormat/>
    <w:uiPriority w:val="0"/>
    <w:rPr>
      <w:rFonts w:hint="eastAsia" w:ascii="仿宋" w:hAnsi="仿宋" w:eastAsia="仿宋" w:cs="仿宋"/>
      <w:b/>
      <w:bCs/>
      <w:color w:val="000000"/>
      <w:sz w:val="24"/>
      <w:szCs w:val="24"/>
      <w:u w:val="none"/>
    </w:rPr>
  </w:style>
  <w:style w:type="character" w:customStyle="1" w:styleId="23">
    <w:name w:val="font11"/>
    <w:basedOn w:val="15"/>
    <w:qFormat/>
    <w:uiPriority w:val="0"/>
    <w:rPr>
      <w:rFonts w:hint="eastAsia" w:ascii="仿宋" w:hAnsi="仿宋" w:eastAsia="仿宋" w:cs="仿宋"/>
      <w:color w:val="000000"/>
      <w:sz w:val="24"/>
      <w:szCs w:val="24"/>
      <w:u w:val="none"/>
    </w:rPr>
  </w:style>
  <w:style w:type="character" w:customStyle="1" w:styleId="24">
    <w:name w:val="font41"/>
    <w:basedOn w:val="15"/>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7313</Words>
  <Characters>9112</Characters>
  <Lines>24</Lines>
  <Paragraphs>6</Paragraphs>
  <TotalTime>23</TotalTime>
  <ScaleCrop>false</ScaleCrop>
  <LinksUpToDate>false</LinksUpToDate>
  <CharactersWithSpaces>9338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2023-08-28T02:08:53Z</cp:lastPrinted>
  <dcterms:modified xsi:type="dcterms:W3CDTF">2023-08-28T02:31:14Z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F36931DBFF114230AD2388DD8543CB62_13</vt:lpwstr>
  </property>
</Properties>
</file>