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highlight w:val="yellow"/>
        </w:rPr>
      </w:pPr>
      <w:r>
        <w:rPr>
          <w:rFonts w:hint="eastAsia" w:ascii="方正小标宋简体" w:hAnsi="宋体" w:eastAsia="方正小标宋简体" w:cs="宋体"/>
        </w:rPr>
        <w:t>及下属子公司招标文件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ascii="宋体" w:hAnsi="宋体" w:cs="仿宋_GB2312"/>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2023至2024年度防腐油漆框架协议采购</w:t>
      </w:r>
    </w:p>
    <w:p>
      <w:pPr>
        <w:spacing w:line="600" w:lineRule="exact"/>
        <w:ind w:firstLine="420" w:firstLineChars="200"/>
        <w:jc w:val="left"/>
        <w:rPr>
          <w:rFonts w:ascii="宋体" w:hAnsi="宋体" w:cs="ÑÚSå"/>
          <w:bCs/>
          <w:kern w:val="1"/>
          <w:szCs w:val="21"/>
        </w:rPr>
      </w:pPr>
      <w:r>
        <w:rPr>
          <w:rFonts w:hint="eastAsia" w:ascii="宋体" w:hAnsi="宋体" w:cs="ÑÚSå"/>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：2023</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9</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通知送货后3天内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2023年9月7日上午10点20分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2023年9月7日上午10点20分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600" w:lineRule="exact"/>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2.1 投标方必须严格按照我公司招标文件中物料的规格、型号及物料描述要求报价，不得修改报价函的内容和调整顺序，所供产品应符合安全规范要求和技术标准。</w:t>
      </w:r>
    </w:p>
    <w:p>
      <w:pPr>
        <w:spacing w:line="600" w:lineRule="exact"/>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 标的物必须符合相应国家标准或行业标准，产品质量合格（附产品合格证和相关技术资料）满足我公司使用要求。</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需盖公章）、（2）</w:t>
      </w:r>
      <w:r>
        <w:rPr>
          <w:rFonts w:hint="eastAsia" w:ascii="方正仿宋简体" w:hAnsi="方正仿宋简体" w:eastAsia="方正仿宋简体" w:cs="方正仿宋简体"/>
          <w:sz w:val="32"/>
          <w:szCs w:val="32"/>
          <w:u w:val="single"/>
        </w:rPr>
        <w:t>报价函、（3）报价明细（见附件1）。</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color w:val="FF0000"/>
          <w:kern w:val="1"/>
          <w:sz w:val="32"/>
          <w:szCs w:val="32"/>
        </w:rPr>
        <w:t>以上文件均需加盖公章</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w:t>
      </w:r>
      <w:bookmarkStart w:id="0" w:name="_GoBack"/>
      <w:bookmarkEnd w:id="0"/>
      <w:r>
        <w:rPr>
          <w:rFonts w:hint="eastAsia" w:ascii="方正仿宋简体" w:hAnsi="方正仿宋简体" w:eastAsia="方正仿宋简体" w:cs="方正仿宋简体"/>
          <w:bCs/>
          <w:sz w:val="32"/>
          <w:szCs w:val="32"/>
          <w:u w:val="single"/>
        </w:rPr>
        <w:t xml:space="preserve">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 xml:space="preserve">5. </w:t>
      </w:r>
      <w:r>
        <w:rPr>
          <w:rFonts w:hint="eastAsia" w:ascii="方正仿宋简体" w:hAnsi="方正仿宋简体" w:eastAsia="方正仿宋简体" w:cs="方正仿宋简体"/>
          <w:bCs/>
          <w:color w:val="FF0000"/>
          <w:sz w:val="30"/>
          <w:szCs w:val="30"/>
        </w:rPr>
        <w:t>报价方认真核算货物的单价，发现报价明显低于市场公允价值，恶性竞争的，买受人有权根据单价选择采购；发现有串通等扰乱我方经营秩序的恶劣情况，按废标处理。</w:t>
      </w:r>
    </w:p>
    <w:p>
      <w:pPr>
        <w:pStyle w:val="5"/>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仿宋简体" w:hAnsi="方正仿宋简体" w:eastAsia="方正仿宋简体" w:cs="方正仿宋简体"/>
          <w:bCs/>
          <w:kern w:val="2"/>
          <w:sz w:val="32"/>
          <w:szCs w:val="32"/>
        </w:rPr>
        <w:t xml:space="preserve">6. </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4"/>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1061" w:tblpY="272"/>
        <w:tblOverlap w:val="never"/>
        <w:tblW w:w="10057" w:type="dxa"/>
        <w:tblInd w:w="0" w:type="dxa"/>
        <w:tblLayout w:type="fixed"/>
        <w:tblCellMar>
          <w:top w:w="0" w:type="dxa"/>
          <w:left w:w="108" w:type="dxa"/>
          <w:bottom w:w="0" w:type="dxa"/>
          <w:right w:w="108" w:type="dxa"/>
        </w:tblCellMar>
      </w:tblPr>
      <w:tblGrid>
        <w:gridCol w:w="5126"/>
        <w:gridCol w:w="1150"/>
        <w:gridCol w:w="2593"/>
        <w:gridCol w:w="1188"/>
      </w:tblGrid>
      <w:tr>
        <w:tblPrEx>
          <w:tblCellMar>
            <w:top w:w="0" w:type="dxa"/>
            <w:left w:w="108" w:type="dxa"/>
            <w:bottom w:w="0" w:type="dxa"/>
            <w:right w:w="108" w:type="dxa"/>
          </w:tblCellMar>
        </w:tblPrEx>
        <w:trPr>
          <w:trHeight w:val="680"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项目名称</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报价（含税）</w:t>
            </w:r>
          </w:p>
        </w:tc>
        <w:tc>
          <w:tcPr>
            <w:tcW w:w="11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Cs/>
                <w:sz w:val="24"/>
              </w:rPr>
            </w:pPr>
            <w:r>
              <w:rPr>
                <w:rFonts w:hint="eastAsia" w:ascii="仿宋_GB2312" w:eastAsia="仿宋_GB2312" w:cs="仿宋_GB2312"/>
                <w:bCs/>
                <w:sz w:val="24"/>
              </w:rPr>
              <w:t>税率</w:t>
            </w:r>
          </w:p>
        </w:tc>
      </w:tr>
      <w:tr>
        <w:tblPrEx>
          <w:tblCellMar>
            <w:top w:w="0" w:type="dxa"/>
            <w:left w:w="108" w:type="dxa"/>
            <w:bottom w:w="0" w:type="dxa"/>
            <w:right w:w="108" w:type="dxa"/>
          </w:tblCellMar>
        </w:tblPrEx>
        <w:trPr>
          <w:trHeight w:val="620"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eastAsia="仿宋_GB2312" w:cs="仿宋_GB2312"/>
                <w:bCs/>
                <w:sz w:val="24"/>
              </w:rPr>
            </w:pPr>
            <w:r>
              <w:rPr>
                <w:rFonts w:ascii="仿宋_GB2312" w:eastAsia="仿宋_GB2312" w:cs="仿宋_GB2312"/>
                <w:bCs/>
                <w:sz w:val="24"/>
              </w:rPr>
              <w:t>海纳川</w:t>
            </w:r>
            <w:r>
              <w:rPr>
                <w:rFonts w:hint="eastAsia" w:ascii="仿宋_GB2312" w:eastAsia="仿宋_GB2312" w:cs="仿宋_GB2312"/>
                <w:bCs/>
                <w:sz w:val="24"/>
              </w:rPr>
              <w:t>2023至2024年度防腐油漆采购框架协议采购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c>
          <w:tcPr>
            <w:tcW w:w="1188" w:type="dxa"/>
            <w:vMerge w:val="restart"/>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r>
      <w:tr>
        <w:tblPrEx>
          <w:tblCellMar>
            <w:top w:w="0" w:type="dxa"/>
            <w:left w:w="108" w:type="dxa"/>
            <w:bottom w:w="0" w:type="dxa"/>
            <w:right w:w="108" w:type="dxa"/>
          </w:tblCellMar>
        </w:tblPrEx>
        <w:trPr>
          <w:trHeight w:val="602"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eastAsia="仿宋_GB2312" w:cs="仿宋_GB2312"/>
                <w:bCs/>
                <w:sz w:val="24"/>
              </w:rPr>
            </w:pPr>
            <w:r>
              <w:rPr>
                <w:rFonts w:hint="eastAsia" w:ascii="仿宋_GB2312" w:eastAsia="仿宋_GB2312" w:cs="仿宋_GB2312"/>
                <w:bCs/>
                <w:sz w:val="24"/>
              </w:rPr>
              <w:t>公铁运输2023至2024年度防腐油漆采购框架协议采购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c>
          <w:tcPr>
            <w:tcW w:w="1188" w:type="dxa"/>
            <w:vMerge w:val="continue"/>
            <w:tcBorders>
              <w:left w:val="single" w:color="000000" w:sz="4" w:space="0"/>
              <w:right w:val="single" w:color="000000" w:sz="4" w:space="0"/>
            </w:tcBorders>
            <w:vAlign w:val="center"/>
          </w:tcPr>
          <w:p/>
        </w:tc>
      </w:tr>
      <w:tr>
        <w:tblPrEx>
          <w:tblCellMar>
            <w:top w:w="0" w:type="dxa"/>
            <w:left w:w="108" w:type="dxa"/>
            <w:bottom w:w="0" w:type="dxa"/>
            <w:right w:w="108" w:type="dxa"/>
          </w:tblCellMar>
        </w:tblPrEx>
        <w:trPr>
          <w:trHeight w:val="587" w:hRule="exact"/>
        </w:trPr>
        <w:tc>
          <w:tcPr>
            <w:tcW w:w="512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_GB2312" w:eastAsia="仿宋_GB2312" w:cs="仿宋_GB2312"/>
                <w:bCs/>
                <w:sz w:val="24"/>
              </w:rPr>
            </w:pPr>
            <w:r>
              <w:rPr>
                <w:rFonts w:hint="eastAsia" w:ascii="仿宋_GB2312" w:eastAsia="仿宋_GB2312" w:cs="仿宋_GB2312"/>
                <w:bCs/>
                <w:sz w:val="24"/>
              </w:rPr>
              <w:t>兴普物贸2023至2024年度防腐油漆采购框架协议采购</w:t>
            </w:r>
          </w:p>
        </w:tc>
        <w:tc>
          <w:tcPr>
            <w:tcW w:w="374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Cs/>
                <w:sz w:val="24"/>
              </w:rPr>
            </w:pPr>
          </w:p>
        </w:tc>
        <w:tc>
          <w:tcPr>
            <w:tcW w:w="1188" w:type="dxa"/>
            <w:vMerge w:val="continue"/>
            <w:tcBorders>
              <w:left w:val="single" w:color="000000" w:sz="4" w:space="0"/>
              <w:right w:val="single" w:color="000000" w:sz="4" w:space="0"/>
            </w:tcBorders>
            <w:vAlign w:val="center"/>
          </w:tcPr>
          <w:p/>
        </w:tc>
      </w:tr>
      <w:tr>
        <w:tblPrEx>
          <w:tblCellMar>
            <w:top w:w="0" w:type="dxa"/>
            <w:left w:w="108" w:type="dxa"/>
            <w:bottom w:w="0" w:type="dxa"/>
            <w:right w:w="108" w:type="dxa"/>
          </w:tblCellMar>
        </w:tblPrEx>
        <w:trPr>
          <w:trHeight w:val="680" w:hRule="exact"/>
        </w:trPr>
        <w:tc>
          <w:tcPr>
            <w:tcW w:w="6276"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仿宋_GB2312" w:eastAsia="仿宋_GB2312" w:cs="仿宋_GB2312"/>
                <w:bCs/>
                <w:sz w:val="28"/>
                <w:szCs w:val="28"/>
              </w:rPr>
            </w:pPr>
            <w:r>
              <w:rPr>
                <w:rFonts w:hint="eastAsia" w:ascii="仿宋_GB2312" w:eastAsia="仿宋_GB2312" w:cs="仿宋_GB2312"/>
                <w:bCs/>
                <w:sz w:val="24"/>
              </w:rPr>
              <w:t xml:space="preserve">以上合计总价（大写）：                             </w:t>
            </w:r>
            <w:r>
              <w:rPr>
                <w:rFonts w:hint="eastAsia" w:ascii="仿宋_GB2312" w:eastAsia="仿宋_GB2312" w:cs="仿宋_GB2312"/>
                <w:bCs/>
                <w:sz w:val="32"/>
                <w:szCs w:val="32"/>
              </w:rPr>
              <w:t xml:space="preserve">  </w:t>
            </w:r>
            <w:r>
              <w:rPr>
                <w:rFonts w:hint="eastAsia" w:ascii="仿宋_GB2312" w:eastAsia="仿宋_GB2312" w:cs="仿宋_GB2312"/>
                <w:sz w:val="32"/>
                <w:szCs w:val="32"/>
              </w:rPr>
              <w:t xml:space="preserve"> </w:t>
            </w:r>
          </w:p>
        </w:tc>
        <w:tc>
          <w:tcPr>
            <w:tcW w:w="3781" w:type="dxa"/>
            <w:gridSpan w:val="2"/>
            <w:tcBorders>
              <w:top w:val="single" w:color="000000" w:sz="4" w:space="0"/>
              <w:left w:val="single" w:color="000000" w:sz="4" w:space="0"/>
              <w:bottom w:val="single" w:color="000000" w:sz="4" w:space="0"/>
              <w:right w:val="single" w:color="000000" w:sz="4" w:space="0"/>
            </w:tcBorders>
            <w:vAlign w:val="center"/>
          </w:tcPr>
          <w:p>
            <w:pPr>
              <w:tabs>
                <w:tab w:val="center" w:pos="2426"/>
              </w:tabs>
              <w:spacing w:line="480" w:lineRule="auto"/>
              <w:jc w:val="left"/>
              <w:rPr>
                <w:rFonts w:ascii="仿宋_GB2312" w:eastAsia="仿宋_GB2312" w:cs="仿宋_GB2312"/>
                <w:bCs/>
                <w:sz w:val="24"/>
              </w:rPr>
            </w:pPr>
            <w:r>
              <w:rPr>
                <w:rFonts w:hint="eastAsia" w:ascii="仿宋_GB2312" w:eastAsia="仿宋_GB2312" w:cs="仿宋_GB2312"/>
                <w:sz w:val="24"/>
                <w:shd w:val="clear" w:color="auto" w:fill="FFFFFF"/>
              </w:rPr>
              <w:t>小写</w:t>
            </w:r>
            <w:r>
              <w:rPr>
                <w:rFonts w:hint="eastAsia" w:ascii="仿宋_GB2312" w:eastAsia="仿宋_GB2312" w:cs="仿宋_GB2312"/>
                <w:sz w:val="32"/>
                <w:szCs w:val="32"/>
                <w:shd w:val="clear" w:color="auto" w:fill="FFFFFF"/>
              </w:rPr>
              <w:t>：</w:t>
            </w:r>
          </w:p>
        </w:tc>
      </w:tr>
      <w:tr>
        <w:tblPrEx>
          <w:tblCellMar>
            <w:top w:w="0" w:type="dxa"/>
            <w:left w:w="108" w:type="dxa"/>
            <w:bottom w:w="0" w:type="dxa"/>
            <w:right w:w="108" w:type="dxa"/>
          </w:tblCellMar>
        </w:tblPrEx>
        <w:trPr>
          <w:trHeight w:val="680" w:hRule="exact"/>
        </w:trPr>
        <w:tc>
          <w:tcPr>
            <w:tcW w:w="6276"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仿宋_GB2312" w:eastAsia="仿宋_GB2312" w:cs="仿宋_GB2312"/>
                <w:bCs/>
                <w:sz w:val="24"/>
              </w:rPr>
            </w:pPr>
            <w:r>
              <w:rPr>
                <w:rFonts w:hint="eastAsia" w:ascii="仿宋_GB2312" w:eastAsia="仿宋_GB2312" w:cs="仿宋_GB2312"/>
                <w:bCs/>
                <w:sz w:val="24"/>
              </w:rPr>
              <w:t>服务期限：</w:t>
            </w:r>
            <w:r>
              <w:rPr>
                <w:rFonts w:hint="eastAsia" w:ascii="宋体" w:hAnsi="宋体" w:cs="宋体"/>
                <w:color w:val="000000"/>
                <w:kern w:val="0"/>
                <w:sz w:val="22"/>
                <w:szCs w:val="22"/>
              </w:rPr>
              <w:t>2023.9.1-2024.12.31</w:t>
            </w:r>
          </w:p>
        </w:tc>
        <w:tc>
          <w:tcPr>
            <w:tcW w:w="3781"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仿宋_GB2312" w:eastAsia="仿宋_GB2312" w:cs="仿宋_GB2312"/>
                <w:bCs/>
                <w:sz w:val="24"/>
              </w:rPr>
            </w:pPr>
            <w:r>
              <w:rPr>
                <w:rFonts w:hint="eastAsia" w:ascii="仿宋_GB2312" w:eastAsia="仿宋_GB2312" w:cs="仿宋_GB2312"/>
                <w:bCs/>
                <w:sz w:val="24"/>
              </w:rPr>
              <w:t>报价有效期：</w:t>
            </w:r>
            <w:r>
              <w:rPr>
                <w:rFonts w:hint="eastAsia" w:ascii="宋体" w:hAnsi="宋体" w:cs="宋体"/>
                <w:color w:val="000000"/>
                <w:kern w:val="0"/>
                <w:sz w:val="22"/>
                <w:szCs w:val="22"/>
              </w:rPr>
              <w:t>2023.9.1-2024.12.31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4"/>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pStyle w:val="5"/>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1"/>
        <w:tblW w:w="9116" w:type="dxa"/>
        <w:tblInd w:w="93" w:type="dxa"/>
        <w:tblLayout w:type="fixed"/>
        <w:tblCellMar>
          <w:top w:w="0" w:type="dxa"/>
          <w:left w:w="108" w:type="dxa"/>
          <w:bottom w:w="0" w:type="dxa"/>
          <w:right w:w="108" w:type="dxa"/>
        </w:tblCellMar>
      </w:tblPr>
      <w:tblGrid>
        <w:gridCol w:w="531"/>
        <w:gridCol w:w="2313"/>
        <w:gridCol w:w="2273"/>
        <w:gridCol w:w="828"/>
        <w:gridCol w:w="965"/>
        <w:gridCol w:w="1103"/>
        <w:gridCol w:w="1103"/>
      </w:tblGrid>
      <w:tr>
        <w:tblPrEx>
          <w:tblCellMar>
            <w:top w:w="0" w:type="dxa"/>
            <w:left w:w="108" w:type="dxa"/>
            <w:bottom w:w="0" w:type="dxa"/>
            <w:right w:w="108" w:type="dxa"/>
          </w:tblCellMar>
        </w:tblPrEx>
        <w:trPr>
          <w:trHeight w:val="1063" w:hRule="atLeast"/>
        </w:trPr>
        <w:tc>
          <w:tcPr>
            <w:tcW w:w="9116" w:type="dxa"/>
            <w:gridSpan w:val="7"/>
            <w:tcBorders>
              <w:top w:val="single" w:color="auto" w:sz="8" w:space="0"/>
              <w:left w:val="single" w:color="auto" w:sz="8" w:space="0"/>
              <w:bottom w:val="nil"/>
              <w:right w:val="single" w:color="000000" w:sz="8" w:space="0"/>
            </w:tcBorders>
            <w:vAlign w:val="bottom"/>
          </w:tcPr>
          <w:p>
            <w:pPr>
              <w:widowControl/>
              <w:jc w:val="center"/>
              <w:rPr>
                <w:rFonts w:ascii="宋体" w:hAnsi="宋体" w:cs="Tahoma"/>
                <w:kern w:val="0"/>
                <w:sz w:val="36"/>
                <w:szCs w:val="36"/>
              </w:rPr>
            </w:pPr>
            <w:r>
              <w:rPr>
                <w:rFonts w:hint="eastAsia" w:ascii="宋体" w:hAnsi="宋体" w:cs="Tahoma"/>
                <w:b/>
                <w:kern w:val="0"/>
                <w:sz w:val="36"/>
                <w:szCs w:val="36"/>
              </w:rPr>
              <w:t>2023至2024年度防腐油漆采购框架协议采购报价明细</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tblPrEx>
          <w:tblCellMar>
            <w:top w:w="0" w:type="dxa"/>
            <w:left w:w="108" w:type="dxa"/>
            <w:bottom w:w="0" w:type="dxa"/>
            <w:right w:w="108" w:type="dxa"/>
          </w:tblCellMar>
        </w:tblPrEx>
        <w:trPr>
          <w:trHeight w:val="433" w:hRule="atLeast"/>
        </w:trPr>
        <w:tc>
          <w:tcPr>
            <w:tcW w:w="9116" w:type="dxa"/>
            <w:gridSpan w:val="7"/>
            <w:tcBorders>
              <w:top w:val="nil"/>
              <w:left w:val="single" w:color="auto" w:sz="8" w:space="0"/>
              <w:bottom w:val="single" w:color="auto" w:sz="8" w:space="0"/>
              <w:right w:val="single" w:color="000000" w:sz="8" w:space="0"/>
            </w:tcBorders>
            <w:vAlign w:val="bottom"/>
          </w:tcPr>
          <w:p>
            <w:pPr>
              <w:widowControl/>
              <w:jc w:val="center"/>
              <w:rPr>
                <w:rFonts w:ascii="宋体" w:hAnsi="宋体" w:cs="Tahoma"/>
                <w:kern w:val="0"/>
                <w:sz w:val="24"/>
                <w:szCs w:val="24"/>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36"/>
                <w:szCs w:val="36"/>
              </w:rPr>
              <w:t xml:space="preserve">    </w:t>
            </w:r>
          </w:p>
        </w:tc>
      </w:tr>
      <w:tr>
        <w:tblPrEx>
          <w:tblCellMar>
            <w:top w:w="0" w:type="dxa"/>
            <w:left w:w="108" w:type="dxa"/>
            <w:bottom w:w="0" w:type="dxa"/>
            <w:right w:w="108" w:type="dxa"/>
          </w:tblCellMar>
        </w:tblPrEx>
        <w:trPr>
          <w:trHeight w:val="627" w:hRule="atLeast"/>
        </w:trPr>
        <w:tc>
          <w:tcPr>
            <w:tcW w:w="9116" w:type="dxa"/>
            <w:gridSpan w:val="7"/>
            <w:tcBorders>
              <w:top w:val="single" w:color="auto" w:sz="8" w:space="0"/>
              <w:left w:val="single" w:color="auto" w:sz="8" w:space="0"/>
              <w:bottom w:val="single" w:color="auto" w:sz="8" w:space="0"/>
              <w:right w:val="single" w:color="000000" w:sz="8" w:space="0"/>
            </w:tcBorders>
            <w:vAlign w:val="bottom"/>
          </w:tcPr>
          <w:p>
            <w:pPr>
              <w:widowControl/>
              <w:jc w:val="left"/>
              <w:rPr>
                <w:rFonts w:ascii="宋体" w:hAnsi="宋体" w:cs="Tahoma"/>
                <w:kern w:val="0"/>
                <w:sz w:val="22"/>
                <w:szCs w:val="22"/>
              </w:rPr>
            </w:pPr>
            <w:r>
              <w:rPr>
                <w:rFonts w:hint="eastAsia" w:ascii="宋体" w:hAnsi="宋体" w:cs="Tahoma"/>
                <w:kern w:val="0"/>
                <w:sz w:val="22"/>
                <w:szCs w:val="22"/>
              </w:rPr>
              <w:t>报价货币：人民币(元)</w:t>
            </w:r>
          </w:p>
        </w:tc>
      </w:tr>
      <w:tr>
        <w:tblPrEx>
          <w:tblCellMar>
            <w:top w:w="0" w:type="dxa"/>
            <w:left w:w="108" w:type="dxa"/>
            <w:bottom w:w="0" w:type="dxa"/>
            <w:right w:w="108" w:type="dxa"/>
          </w:tblCellMar>
        </w:tblPrEx>
        <w:trPr>
          <w:trHeight w:val="390" w:hRule="atLeast"/>
        </w:trPr>
        <w:tc>
          <w:tcPr>
            <w:tcW w:w="531" w:type="dxa"/>
            <w:vMerge w:val="restart"/>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r>
              <w:rPr>
                <w:rFonts w:hint="eastAsia" w:ascii="宋体" w:hAnsi="宋体" w:cs="宋体"/>
                <w:sz w:val="24"/>
              </w:rPr>
              <w:t>序号</w:t>
            </w:r>
          </w:p>
        </w:tc>
        <w:tc>
          <w:tcPr>
            <w:tcW w:w="2313" w:type="dxa"/>
            <w:vMerge w:val="restart"/>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r>
              <w:rPr>
                <w:rFonts w:hint="eastAsia" w:ascii="宋体" w:hAnsi="宋体" w:cs="宋体"/>
                <w:sz w:val="24"/>
              </w:rPr>
              <w:t>标的名称</w:t>
            </w:r>
          </w:p>
        </w:tc>
        <w:tc>
          <w:tcPr>
            <w:tcW w:w="2273" w:type="dxa"/>
            <w:vMerge w:val="restart"/>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r>
              <w:rPr>
                <w:rFonts w:hint="eastAsia" w:ascii="宋体" w:hAnsi="宋体" w:cs="宋体"/>
                <w:sz w:val="24"/>
              </w:rPr>
              <w:t>规格型号</w:t>
            </w:r>
          </w:p>
        </w:tc>
        <w:tc>
          <w:tcPr>
            <w:tcW w:w="828" w:type="dxa"/>
            <w:vMerge w:val="restart"/>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r>
              <w:rPr>
                <w:rFonts w:hint="eastAsia" w:ascii="宋体" w:hAnsi="宋体" w:cs="宋体"/>
                <w:sz w:val="24"/>
              </w:rPr>
              <w:t>单位</w:t>
            </w:r>
          </w:p>
        </w:tc>
        <w:tc>
          <w:tcPr>
            <w:tcW w:w="965" w:type="dxa"/>
            <w:vMerge w:val="restart"/>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r>
              <w:rPr>
                <w:rFonts w:hint="eastAsia" w:ascii="宋体" w:hAnsi="宋体" w:cs="宋体"/>
                <w:sz w:val="24"/>
              </w:rPr>
              <w:t>年预          估用量</w:t>
            </w:r>
          </w:p>
        </w:tc>
        <w:tc>
          <w:tcPr>
            <w:tcW w:w="1103" w:type="dxa"/>
            <w:tcBorders>
              <w:top w:val="nil"/>
              <w:left w:val="nil"/>
              <w:bottom w:val="nil"/>
              <w:right w:val="single" w:color="auto" w:sz="8" w:space="0"/>
            </w:tcBorders>
            <w:vAlign w:val="center"/>
          </w:tcPr>
          <w:p>
            <w:pPr>
              <w:widowControl/>
              <w:spacing w:line="0" w:lineRule="atLeast"/>
              <w:jc w:val="center"/>
              <w:textAlignment w:val="center"/>
              <w:rPr>
                <w:rFonts w:ascii="宋体" w:hAnsi="宋体" w:cs="宋体"/>
                <w:sz w:val="24"/>
              </w:rPr>
            </w:pPr>
            <w:r>
              <w:rPr>
                <w:rFonts w:hint="eastAsia" w:ascii="宋体" w:hAnsi="宋体" w:cs="宋体"/>
                <w:sz w:val="24"/>
              </w:rPr>
              <w:t>单价</w:t>
            </w:r>
          </w:p>
        </w:tc>
        <w:tc>
          <w:tcPr>
            <w:tcW w:w="1103" w:type="dxa"/>
            <w:tcBorders>
              <w:top w:val="nil"/>
              <w:left w:val="nil"/>
              <w:bottom w:val="nil"/>
              <w:right w:val="single" w:color="auto" w:sz="8" w:space="0"/>
            </w:tcBorders>
            <w:vAlign w:val="center"/>
          </w:tcPr>
          <w:p>
            <w:pPr>
              <w:widowControl/>
              <w:spacing w:line="0" w:lineRule="atLeast"/>
              <w:jc w:val="center"/>
              <w:textAlignment w:val="center"/>
              <w:rPr>
                <w:rFonts w:ascii="宋体" w:hAnsi="宋体" w:cs="宋体"/>
                <w:sz w:val="24"/>
              </w:rPr>
            </w:pPr>
            <w:r>
              <w:rPr>
                <w:rFonts w:hint="eastAsia" w:ascii="宋体" w:hAnsi="宋体" w:cs="宋体"/>
                <w:sz w:val="24"/>
              </w:rPr>
              <w:t>总价</w:t>
            </w:r>
          </w:p>
        </w:tc>
      </w:tr>
      <w:tr>
        <w:tblPrEx>
          <w:tblCellMar>
            <w:top w:w="0" w:type="dxa"/>
            <w:left w:w="108" w:type="dxa"/>
            <w:bottom w:w="0" w:type="dxa"/>
            <w:right w:w="108" w:type="dxa"/>
          </w:tblCellMar>
        </w:tblPrEx>
        <w:trPr>
          <w:trHeight w:val="431" w:hRule="atLeast"/>
        </w:trPr>
        <w:tc>
          <w:tcPr>
            <w:tcW w:w="531" w:type="dxa"/>
            <w:vMerge w:val="continue"/>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p>
        </w:tc>
        <w:tc>
          <w:tcPr>
            <w:tcW w:w="2313" w:type="dxa"/>
            <w:vMerge w:val="continue"/>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p>
        </w:tc>
        <w:tc>
          <w:tcPr>
            <w:tcW w:w="2273" w:type="dxa"/>
            <w:vMerge w:val="continue"/>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p>
        </w:tc>
        <w:tc>
          <w:tcPr>
            <w:tcW w:w="828" w:type="dxa"/>
            <w:vMerge w:val="continue"/>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p>
        </w:tc>
        <w:tc>
          <w:tcPr>
            <w:tcW w:w="965" w:type="dxa"/>
            <w:vMerge w:val="continue"/>
            <w:tcBorders>
              <w:top w:val="nil"/>
              <w:left w:val="single" w:color="auto" w:sz="8" w:space="0"/>
              <w:bottom w:val="single" w:color="000000" w:sz="8" w:space="0"/>
              <w:right w:val="single" w:color="auto" w:sz="8" w:space="0"/>
            </w:tcBorders>
            <w:vAlign w:val="center"/>
          </w:tcPr>
          <w:p>
            <w:pPr>
              <w:widowControl/>
              <w:jc w:val="center"/>
              <w:textAlignment w:val="center"/>
              <w:rPr>
                <w:rFonts w:ascii="宋体" w:hAnsi="宋体" w:cs="宋体"/>
                <w:sz w:val="24"/>
              </w:rPr>
            </w:pPr>
          </w:p>
        </w:tc>
        <w:tc>
          <w:tcPr>
            <w:tcW w:w="1103" w:type="dxa"/>
            <w:tcBorders>
              <w:top w:val="nil"/>
              <w:left w:val="nil"/>
              <w:bottom w:val="single" w:color="auto" w:sz="8" w:space="0"/>
              <w:right w:val="single" w:color="auto" w:sz="8" w:space="0"/>
            </w:tcBorders>
            <w:vAlign w:val="center"/>
          </w:tcPr>
          <w:p>
            <w:pPr>
              <w:widowControl/>
              <w:spacing w:line="0" w:lineRule="atLeast"/>
              <w:jc w:val="center"/>
              <w:textAlignment w:val="center"/>
              <w:rPr>
                <w:rFonts w:ascii="宋体" w:hAnsi="宋体" w:cs="宋体"/>
                <w:sz w:val="24"/>
              </w:rPr>
            </w:pPr>
            <w:r>
              <w:rPr>
                <w:rFonts w:hint="eastAsia" w:ascii="宋体" w:hAnsi="宋体" w:cs="宋体"/>
                <w:sz w:val="24"/>
              </w:rPr>
              <w:t>（含税）</w:t>
            </w:r>
          </w:p>
        </w:tc>
        <w:tc>
          <w:tcPr>
            <w:tcW w:w="1103" w:type="dxa"/>
            <w:tcBorders>
              <w:top w:val="nil"/>
              <w:left w:val="nil"/>
              <w:bottom w:val="single" w:color="auto" w:sz="8" w:space="0"/>
              <w:right w:val="single" w:color="auto" w:sz="8" w:space="0"/>
            </w:tcBorders>
            <w:vAlign w:val="center"/>
          </w:tcPr>
          <w:p>
            <w:pPr>
              <w:widowControl/>
              <w:spacing w:line="0" w:lineRule="atLeast"/>
              <w:jc w:val="center"/>
              <w:textAlignment w:val="center"/>
              <w:rPr>
                <w:rFonts w:ascii="宋体" w:hAnsi="宋体" w:cs="宋体"/>
                <w:sz w:val="24"/>
              </w:rPr>
            </w:pPr>
            <w:r>
              <w:rPr>
                <w:rFonts w:hint="eastAsia" w:ascii="宋体" w:hAnsi="宋体" w:cs="宋体"/>
                <w:sz w:val="24"/>
              </w:rPr>
              <w:t>（含税）</w:t>
            </w: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环氧</w:t>
            </w:r>
            <w:r>
              <w:rPr>
                <w:rFonts w:hint="eastAsia" w:ascii="宋体" w:hAnsi="宋体" w:cs="宋体"/>
                <w:sz w:val="24"/>
              </w:rPr>
              <w:t>铁红防锈</w:t>
            </w:r>
            <w:r>
              <w:rPr>
                <w:rFonts w:ascii="宋体" w:hAnsi="宋体" w:cs="宋体"/>
                <w:sz w:val="24"/>
              </w:rPr>
              <w:t>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单组</w:t>
            </w:r>
          </w:p>
        </w:tc>
        <w:tc>
          <w:tcPr>
            <w:tcW w:w="828"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Cs w:val="21"/>
              </w:rPr>
            </w:pPr>
            <w:r>
              <w:rPr>
                <w:rFonts w:hint="eastAsia" w:ascii="宋体" w:hAnsi="宋体" w:cs="Tahoma"/>
                <w:kern w:val="0"/>
                <w:szCs w:val="21"/>
              </w:rPr>
              <w:t>kg　</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600　</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r>
              <w:rPr>
                <w:rFonts w:hint="eastAsia" w:ascii="宋体" w:hAnsi="宋体" w:cs="Tahoma"/>
                <w:kern w:val="0"/>
                <w:sz w:val="22"/>
                <w:szCs w:val="22"/>
              </w:rPr>
              <w:t>　</w:t>
            </w: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r>
              <w:rPr>
                <w:rFonts w:hint="eastAsia" w:ascii="宋体" w:hAnsi="宋体" w:cs="Tahoma"/>
                <w:kern w:val="0"/>
                <w:sz w:val="24"/>
                <w:szCs w:val="24"/>
              </w:rPr>
              <w:t>　</w:t>
            </w: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2</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地面划线漆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 xml:space="preserve">961黑 </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3</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地面划线漆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 xml:space="preserve">961A红 </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 w:val="18"/>
                <w:szCs w:val="18"/>
              </w:rPr>
              <w:t>600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4</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地面划线漆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 xml:space="preserve">961白 </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 w:val="18"/>
                <w:szCs w:val="18"/>
              </w:rPr>
              <w:t>600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5</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钢结构聚氨酯面漆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 xml:space="preserve">深灰 双组 </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6</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钢结构聚氨酯面漆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 xml:space="preserve">深灰 单组 </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7</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ascii="宋体" w:hAnsi="宋体" w:cs="宋体"/>
                <w:sz w:val="24"/>
              </w:rPr>
              <w:t>钢结构聚氨酯面漆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 xml:space="preserve">深黄 单组 </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8</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环氧树脂</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SM6101</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200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9</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环氧固化剂</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T-31</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200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10</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环氧色浆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艳绿(底漆调色用)</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200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11</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稀释剂</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环氧树脂专用</w:t>
            </w:r>
          </w:p>
        </w:tc>
        <w:tc>
          <w:tcPr>
            <w:tcW w:w="828" w:type="dxa"/>
            <w:tcBorders>
              <w:top w:val="single" w:color="auto" w:sz="4" w:space="0"/>
              <w:left w:val="nil"/>
              <w:bottom w:val="single" w:color="auto" w:sz="4" w:space="0"/>
              <w:right w:val="single" w:color="auto" w:sz="4" w:space="0"/>
            </w:tcBorders>
            <w:shd w:val="clear" w:color="000000" w:fill="FFFFFF"/>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12</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滚筒</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10寸</w:t>
            </w:r>
          </w:p>
        </w:tc>
        <w:tc>
          <w:tcPr>
            <w:tcW w:w="82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highlight w:val="green"/>
              </w:rPr>
            </w:pPr>
            <w:r>
              <w:rPr>
                <w:rFonts w:hint="eastAsia" w:ascii="宋体" w:hAnsi="宋体" w:cs="宋体"/>
                <w:sz w:val="24"/>
              </w:rPr>
              <w:t>把</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30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13</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滚芯</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p>
        </w:tc>
        <w:tc>
          <w:tcPr>
            <w:tcW w:w="82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只</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14</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毛刷</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3寸</w:t>
            </w:r>
          </w:p>
        </w:tc>
        <w:tc>
          <w:tcPr>
            <w:tcW w:w="828"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把</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60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15</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外墙乳胶漆</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p>
        </w:tc>
        <w:tc>
          <w:tcPr>
            <w:tcW w:w="828"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1000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16</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left"/>
              <w:textAlignment w:val="center"/>
              <w:rPr>
                <w:rFonts w:ascii="宋体" w:hAnsi="宋体" w:cs="宋体"/>
                <w:sz w:val="24"/>
              </w:rPr>
            </w:pPr>
            <w:r>
              <w:rPr>
                <w:rFonts w:hint="eastAsia" w:ascii="宋体" w:hAnsi="宋体" w:cs="宋体"/>
                <w:sz w:val="24"/>
              </w:rPr>
              <w:t>外墙腻子</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p>
        </w:tc>
        <w:tc>
          <w:tcPr>
            <w:tcW w:w="828"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18"/>
                <w:szCs w:val="18"/>
              </w:rPr>
            </w:pPr>
            <w:r>
              <w:rPr>
                <w:rFonts w:hint="eastAsia" w:ascii="宋体" w:hAnsi="宋体" w:cs="Tahoma"/>
                <w:kern w:val="0"/>
                <w:sz w:val="18"/>
                <w:szCs w:val="18"/>
              </w:rPr>
              <w:t>200</w:t>
            </w:r>
          </w:p>
        </w:tc>
        <w:tc>
          <w:tcPr>
            <w:tcW w:w="1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bottom"/>
          </w:tcPr>
          <w:p>
            <w:pPr>
              <w:widowControl/>
              <w:jc w:val="left"/>
              <w:rPr>
                <w:rFonts w:ascii="宋体" w:hAnsi="宋体" w:cs="Tahoma"/>
                <w:kern w:val="0"/>
                <w:sz w:val="24"/>
                <w:szCs w:val="24"/>
              </w:rPr>
            </w:pPr>
          </w:p>
        </w:tc>
      </w:tr>
      <w:tr>
        <w:tblPrEx>
          <w:tblCellMar>
            <w:top w:w="0" w:type="dxa"/>
            <w:left w:w="108" w:type="dxa"/>
            <w:bottom w:w="0" w:type="dxa"/>
            <w:right w:w="108" w:type="dxa"/>
          </w:tblCellMar>
        </w:tblPrEx>
        <w:trPr>
          <w:trHeight w:val="412"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17</w:t>
            </w:r>
          </w:p>
        </w:tc>
        <w:tc>
          <w:tcPr>
            <w:tcW w:w="231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室外膨胀性钢结构防火涂料</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sz w:val="24"/>
              </w:rPr>
            </w:pPr>
            <w:r>
              <w:rPr>
                <w:rFonts w:hint="eastAsia" w:ascii="宋体" w:hAnsi="宋体" w:cs="宋体"/>
                <w:sz w:val="24"/>
              </w:rPr>
              <w:t>耐火极限</w:t>
            </w:r>
            <w:r>
              <w:rPr>
                <w:rFonts w:ascii="宋体" w:hAnsi="宋体" w:cs="宋体"/>
                <w:sz w:val="24"/>
              </w:rPr>
              <w:t>≥</w:t>
            </w:r>
            <w:r>
              <w:rPr>
                <w:rFonts w:hint="eastAsia" w:ascii="宋体" w:hAnsi="宋体" w:cs="宋体"/>
                <w:sz w:val="24"/>
              </w:rPr>
              <w:t>2h</w:t>
            </w:r>
          </w:p>
          <w:p>
            <w:pPr>
              <w:widowControl/>
              <w:jc w:val="center"/>
              <w:textAlignment w:val="center"/>
              <w:rPr>
                <w:rFonts w:ascii="宋体" w:hAnsi="宋体" w:cs="宋体"/>
                <w:sz w:val="24"/>
              </w:rPr>
            </w:pPr>
            <w:r>
              <w:rPr>
                <w:rFonts w:hint="eastAsia" w:ascii="宋体" w:hAnsi="宋体" w:cs="宋体"/>
                <w:sz w:val="24"/>
              </w:rPr>
              <w:t>干燥时间</w:t>
            </w:r>
            <w:r>
              <w:rPr>
                <w:rFonts w:ascii="宋体" w:hAnsi="宋体" w:cs="宋体"/>
                <w:sz w:val="24"/>
              </w:rPr>
              <w:t>≤</w:t>
            </w:r>
            <w:r>
              <w:rPr>
                <w:rFonts w:hint="eastAsia" w:ascii="宋体" w:hAnsi="宋体" w:cs="宋体"/>
                <w:sz w:val="24"/>
              </w:rPr>
              <w:t>12h涂层厚度3.9㎜</w:t>
            </w:r>
          </w:p>
          <w:p>
            <w:pPr>
              <w:widowControl/>
              <w:jc w:val="center"/>
              <w:textAlignment w:val="center"/>
              <w:rPr>
                <w:rFonts w:ascii="宋体" w:hAnsi="宋体" w:cs="宋体"/>
                <w:sz w:val="24"/>
              </w:rPr>
            </w:pPr>
            <w:r>
              <w:rPr>
                <w:rFonts w:hint="eastAsia" w:ascii="宋体" w:hAnsi="宋体" w:cs="宋体"/>
                <w:sz w:val="24"/>
              </w:rPr>
              <w:t>GB14907  公安部消防产品认定中心认证产品</w:t>
            </w:r>
          </w:p>
        </w:tc>
        <w:tc>
          <w:tcPr>
            <w:tcW w:w="82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Tahoma"/>
                <w:kern w:val="0"/>
                <w:sz w:val="18"/>
                <w:szCs w:val="18"/>
              </w:rPr>
            </w:pPr>
            <w:r>
              <w:rPr>
                <w:rFonts w:hint="eastAsia" w:ascii="宋体" w:hAnsi="宋体" w:cs="Tahoma"/>
                <w:kern w:val="0"/>
                <w:szCs w:val="21"/>
              </w:rPr>
              <w:t>kg</w:t>
            </w:r>
          </w:p>
        </w:tc>
        <w:tc>
          <w:tcPr>
            <w:tcW w:w="96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Tahoma"/>
                <w:kern w:val="0"/>
                <w:sz w:val="18"/>
                <w:szCs w:val="18"/>
              </w:rPr>
            </w:pPr>
            <w:r>
              <w:rPr>
                <w:rFonts w:hint="eastAsia" w:ascii="宋体" w:hAnsi="宋体" w:cs="Tahoma"/>
                <w:kern w:val="0"/>
                <w:sz w:val="18"/>
                <w:szCs w:val="18"/>
              </w:rPr>
              <w:t>200</w:t>
            </w:r>
          </w:p>
        </w:tc>
        <w:tc>
          <w:tcPr>
            <w:tcW w:w="11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Tahoma"/>
                <w:kern w:val="0"/>
                <w:sz w:val="22"/>
                <w:szCs w:val="22"/>
              </w:rPr>
            </w:pPr>
          </w:p>
        </w:tc>
        <w:tc>
          <w:tcPr>
            <w:tcW w:w="1103" w:type="dxa"/>
            <w:tcBorders>
              <w:top w:val="single" w:color="auto" w:sz="4" w:space="0"/>
              <w:left w:val="nil"/>
              <w:bottom w:val="single" w:color="auto" w:sz="4" w:space="0"/>
              <w:right w:val="single" w:color="auto" w:sz="4" w:space="0"/>
            </w:tcBorders>
            <w:vAlign w:val="center"/>
          </w:tcPr>
          <w:p>
            <w:pPr>
              <w:widowControl/>
              <w:jc w:val="center"/>
              <w:rPr>
                <w:rFonts w:ascii="宋体" w:hAnsi="宋体" w:cs="Tahoma"/>
                <w:kern w:val="0"/>
                <w:sz w:val="24"/>
                <w:szCs w:val="24"/>
              </w:rPr>
            </w:pPr>
          </w:p>
        </w:tc>
      </w:tr>
      <w:tr>
        <w:tblPrEx>
          <w:tblCellMar>
            <w:top w:w="0" w:type="dxa"/>
            <w:left w:w="108" w:type="dxa"/>
            <w:bottom w:w="0" w:type="dxa"/>
            <w:right w:w="108" w:type="dxa"/>
          </w:tblCellMar>
        </w:tblPrEx>
        <w:trPr>
          <w:trHeight w:val="570" w:hRule="atLeast"/>
        </w:trPr>
        <w:tc>
          <w:tcPr>
            <w:tcW w:w="5117" w:type="dxa"/>
            <w:gridSpan w:val="3"/>
            <w:tcBorders>
              <w:top w:val="nil"/>
              <w:left w:val="single" w:color="auto" w:sz="8" w:space="0"/>
              <w:bottom w:val="single" w:color="auto" w:sz="8" w:space="0"/>
              <w:right w:val="single" w:color="000000" w:sz="8" w:space="0"/>
            </w:tcBorders>
            <w:vAlign w:val="bottom"/>
          </w:tcPr>
          <w:p>
            <w:pPr>
              <w:widowControl/>
              <w:jc w:val="left"/>
              <w:rPr>
                <w:rFonts w:ascii="宋体" w:hAnsi="宋体" w:cs="Tahoma"/>
                <w:kern w:val="0"/>
                <w:sz w:val="22"/>
                <w:szCs w:val="22"/>
              </w:rPr>
            </w:pPr>
            <w:r>
              <w:rPr>
                <w:rFonts w:hint="eastAsia" w:ascii="宋体" w:hAnsi="宋体" w:cs="Tahoma"/>
                <w:kern w:val="0"/>
                <w:sz w:val="22"/>
                <w:szCs w:val="22"/>
              </w:rPr>
              <w:t xml:space="preserve">以上合计总价（大写）： </w:t>
            </w:r>
          </w:p>
        </w:tc>
        <w:tc>
          <w:tcPr>
            <w:tcW w:w="828" w:type="dxa"/>
            <w:tcBorders>
              <w:top w:val="nil"/>
              <w:left w:val="nil"/>
              <w:bottom w:val="single" w:color="auto" w:sz="8" w:space="0"/>
              <w:right w:val="single" w:color="auto" w:sz="8" w:space="0"/>
            </w:tcBorders>
            <w:vAlign w:val="bottom"/>
          </w:tcPr>
          <w:p>
            <w:pPr>
              <w:widowControl/>
              <w:jc w:val="center"/>
              <w:rPr>
                <w:rFonts w:ascii="宋体" w:hAnsi="宋体" w:cs="Tahoma"/>
                <w:kern w:val="0"/>
                <w:sz w:val="22"/>
                <w:szCs w:val="22"/>
              </w:rPr>
            </w:pPr>
            <w:r>
              <w:rPr>
                <w:rFonts w:hint="eastAsia" w:ascii="宋体" w:hAnsi="宋体" w:cs="Tahoma"/>
                <w:kern w:val="0"/>
                <w:sz w:val="22"/>
                <w:szCs w:val="22"/>
              </w:rPr>
              <w:t>　</w:t>
            </w:r>
          </w:p>
        </w:tc>
        <w:tc>
          <w:tcPr>
            <w:tcW w:w="3171" w:type="dxa"/>
            <w:gridSpan w:val="3"/>
            <w:tcBorders>
              <w:top w:val="nil"/>
              <w:left w:val="nil"/>
              <w:bottom w:val="single" w:color="auto" w:sz="8" w:space="0"/>
              <w:right w:val="single" w:color="000000" w:sz="8" w:space="0"/>
            </w:tcBorders>
            <w:vAlign w:val="bottom"/>
          </w:tcPr>
          <w:p>
            <w:pPr>
              <w:widowControl/>
              <w:jc w:val="left"/>
              <w:rPr>
                <w:rFonts w:ascii="宋体" w:hAnsi="宋体" w:cs="Tahoma"/>
                <w:kern w:val="0"/>
                <w:sz w:val="24"/>
                <w:szCs w:val="24"/>
              </w:rPr>
            </w:pPr>
            <w:r>
              <w:rPr>
                <w:rFonts w:hint="eastAsia" w:ascii="宋体" w:hAnsi="宋体" w:cs="Tahoma"/>
                <w:kern w:val="0"/>
                <w:sz w:val="24"/>
                <w:szCs w:val="24"/>
              </w:rPr>
              <w:t xml:space="preserve">小写：元  </w:t>
            </w:r>
          </w:p>
        </w:tc>
      </w:tr>
      <w:tr>
        <w:tblPrEx>
          <w:tblCellMar>
            <w:top w:w="0" w:type="dxa"/>
            <w:left w:w="108" w:type="dxa"/>
            <w:bottom w:w="0" w:type="dxa"/>
            <w:right w:w="108" w:type="dxa"/>
          </w:tblCellMar>
        </w:tblPrEx>
        <w:trPr>
          <w:trHeight w:val="617" w:hRule="atLeast"/>
        </w:trPr>
        <w:tc>
          <w:tcPr>
            <w:tcW w:w="5945" w:type="dxa"/>
            <w:gridSpan w:val="4"/>
            <w:tcBorders>
              <w:top w:val="single" w:color="auto" w:sz="8" w:space="0"/>
              <w:left w:val="single" w:color="auto" w:sz="8" w:space="0"/>
              <w:bottom w:val="single" w:color="auto" w:sz="8" w:space="0"/>
              <w:right w:val="single" w:color="000000" w:sz="8" w:space="0"/>
            </w:tcBorders>
            <w:vAlign w:val="bottom"/>
          </w:tcPr>
          <w:p>
            <w:pPr>
              <w:widowControl/>
              <w:jc w:val="left"/>
              <w:rPr>
                <w:rFonts w:ascii="宋体" w:hAnsi="宋体" w:cs="Tahoma"/>
                <w:kern w:val="0"/>
                <w:sz w:val="22"/>
                <w:szCs w:val="22"/>
              </w:rPr>
            </w:pPr>
            <w:r>
              <w:rPr>
                <w:rFonts w:hint="eastAsia" w:ascii="宋体" w:hAnsi="宋体" w:cs="Tahoma"/>
                <w:kern w:val="0"/>
                <w:sz w:val="22"/>
                <w:szCs w:val="22"/>
              </w:rPr>
              <w:t xml:space="preserve"> 交货期：合同签订生效通知送货后**天内</w:t>
            </w:r>
          </w:p>
        </w:tc>
        <w:tc>
          <w:tcPr>
            <w:tcW w:w="3171" w:type="dxa"/>
            <w:gridSpan w:val="3"/>
            <w:tcBorders>
              <w:top w:val="single" w:color="auto" w:sz="8" w:space="0"/>
              <w:left w:val="nil"/>
              <w:bottom w:val="single" w:color="auto" w:sz="8" w:space="0"/>
              <w:right w:val="single" w:color="000000" w:sz="8" w:space="0"/>
            </w:tcBorders>
            <w:vAlign w:val="bottom"/>
          </w:tcPr>
          <w:p>
            <w:pPr>
              <w:widowControl/>
              <w:jc w:val="left"/>
              <w:rPr>
                <w:rFonts w:ascii="宋体" w:hAnsi="宋体" w:cs="Tahoma"/>
                <w:kern w:val="0"/>
                <w:sz w:val="24"/>
                <w:szCs w:val="24"/>
              </w:rPr>
            </w:pPr>
            <w:r>
              <w:rPr>
                <w:rFonts w:hint="eastAsia" w:ascii="宋体" w:hAnsi="宋体" w:cs="Tahoma"/>
                <w:kern w:val="0"/>
                <w:sz w:val="24"/>
                <w:szCs w:val="24"/>
              </w:rPr>
              <w:t>税率：13%</w:t>
            </w:r>
          </w:p>
        </w:tc>
      </w:tr>
    </w:tbl>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卖方：***公司</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买方：镇江海纳川物流产业发展有限责任公司或子公司（江苏兴普物贸有限公司、镇江海纳川公铁运输有限公司）</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标书外且市场单价不足三千元的材料，出卖人同意按买受</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人市场调研的最低价予以供货。有效期：2023年9月1日至</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2024年12月31日。</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679"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2023 年 月 日</w:t>
            </w:r>
          </w:p>
        </w:tc>
        <w:tc>
          <w:tcPr>
            <w:tcW w:w="496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乙方（盖章）：镇江海纳川公铁运输有限公司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开户行：交通银行镇江分行</w:t>
            </w:r>
          </w:p>
          <w:p>
            <w:pPr>
              <w:spacing w:line="0" w:lineRule="atLeast"/>
              <w:rPr>
                <w:rFonts w:ascii="仿宋_GB2312" w:hAnsi="宋体" w:eastAsia="仿宋_GB2312"/>
                <w:sz w:val="28"/>
                <w:szCs w:val="28"/>
              </w:rPr>
            </w:pPr>
            <w:r>
              <w:rPr>
                <w:rFonts w:hint="eastAsia" w:ascii="仿宋_GB2312" w:hAnsi="宋体" w:eastAsia="仿宋_GB2312"/>
                <w:sz w:val="28"/>
                <w:szCs w:val="28"/>
              </w:rPr>
              <w:t>账号： 381006700011000185622</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邮政编码：212000</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2023 年 月 日</w:t>
            </w:r>
          </w:p>
        </w:tc>
        <w:tc>
          <w:tcPr>
            <w:tcW w:w="496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乙方（盖章）：江苏兴普物贸有限公司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电话：0511-88995200</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开户行：江苏银行镇江分行营业部</w:t>
            </w:r>
          </w:p>
          <w:p>
            <w:pPr>
              <w:spacing w:line="0" w:lineRule="atLeast"/>
              <w:rPr>
                <w:rFonts w:ascii="仿宋_GB2312" w:hAnsi="宋体" w:eastAsia="仿宋_GB2312"/>
                <w:sz w:val="28"/>
                <w:szCs w:val="28"/>
              </w:rPr>
            </w:pPr>
            <w:r>
              <w:rPr>
                <w:rFonts w:hint="eastAsia" w:ascii="仿宋_GB2312" w:hAnsi="宋体" w:eastAsia="仿宋_GB2312"/>
                <w:sz w:val="28"/>
                <w:szCs w:val="28"/>
              </w:rPr>
              <w:t>账号： 70010188000132863</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F29F9"/>
    <w:rsid w:val="00B01341"/>
    <w:rsid w:val="00B02837"/>
    <w:rsid w:val="00B21988"/>
    <w:rsid w:val="00B353E5"/>
    <w:rsid w:val="00B37D99"/>
    <w:rsid w:val="00B51C96"/>
    <w:rsid w:val="00B7406B"/>
    <w:rsid w:val="00B74619"/>
    <w:rsid w:val="00B77050"/>
    <w:rsid w:val="00B82CED"/>
    <w:rsid w:val="00BD78FB"/>
    <w:rsid w:val="00BF2809"/>
    <w:rsid w:val="00C23F52"/>
    <w:rsid w:val="00C258E8"/>
    <w:rsid w:val="00C36FE7"/>
    <w:rsid w:val="00C41533"/>
    <w:rsid w:val="00C56082"/>
    <w:rsid w:val="00C56465"/>
    <w:rsid w:val="00C62930"/>
    <w:rsid w:val="00C743A3"/>
    <w:rsid w:val="00C92F94"/>
    <w:rsid w:val="00C97E7F"/>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9E67744"/>
    <w:rsid w:val="0CCD460E"/>
    <w:rsid w:val="1444244B"/>
    <w:rsid w:val="14EA645D"/>
    <w:rsid w:val="19181A3A"/>
    <w:rsid w:val="225D796E"/>
    <w:rsid w:val="24EC6623"/>
    <w:rsid w:val="2BBD3669"/>
    <w:rsid w:val="2E16582B"/>
    <w:rsid w:val="2E4116FA"/>
    <w:rsid w:val="31262BAF"/>
    <w:rsid w:val="330F093A"/>
    <w:rsid w:val="345E4273"/>
    <w:rsid w:val="34E37CA8"/>
    <w:rsid w:val="359E47FF"/>
    <w:rsid w:val="35B72FCB"/>
    <w:rsid w:val="35DA3E68"/>
    <w:rsid w:val="379A3E49"/>
    <w:rsid w:val="391E61C3"/>
    <w:rsid w:val="3F3D735A"/>
    <w:rsid w:val="3F8C7B87"/>
    <w:rsid w:val="40D519B8"/>
    <w:rsid w:val="416D2207"/>
    <w:rsid w:val="43EC12FF"/>
    <w:rsid w:val="44366C11"/>
    <w:rsid w:val="44E509D4"/>
    <w:rsid w:val="4ADD1BA1"/>
    <w:rsid w:val="4B0853C3"/>
    <w:rsid w:val="4C641897"/>
    <w:rsid w:val="4DC0511E"/>
    <w:rsid w:val="4E7C39E4"/>
    <w:rsid w:val="4F775726"/>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8"/>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7"/>
    <w:qFormat/>
    <w:uiPriority w:val="0"/>
    <w:pPr>
      <w:jc w:val="left"/>
    </w:pPr>
    <w:rPr>
      <w:rFonts w:ascii="Calibri" w:hAnsi="Calibri"/>
    </w:rPr>
  </w:style>
  <w:style w:type="paragraph" w:styleId="4">
    <w:name w:val="Body Text"/>
    <w:basedOn w:val="1"/>
    <w:next w:val="5"/>
    <w:link w:val="96"/>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customStyle="1" w:styleId="18">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19">
    <w:name w:val="font6"/>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4">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6">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7">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8">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9">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0">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1">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2">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4">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6">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9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49">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0">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1">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3">
    <w:name w:val="xl74"/>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4">
    <w:name w:val="xl103"/>
    <w:basedOn w:val="1"/>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5">
    <w:name w:val="xl104"/>
    <w:basedOn w:val="1"/>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6">
    <w:name w:val="xl105"/>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57">
    <w:name w:val="xl106"/>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58">
    <w:name w:val="xl107"/>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59">
    <w:name w:val="xl108"/>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9"/>
    <w:basedOn w:val="1"/>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1">
    <w:name w:val="xl11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2">
    <w:name w:val="xl111"/>
    <w:basedOn w:val="1"/>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3">
    <w:name w:val="xl112"/>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4">
    <w:name w:val="xl113"/>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5">
    <w:name w:val="xl114"/>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6">
    <w:name w:val="xl115"/>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7">
    <w:name w:val="xl116"/>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69">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0">
    <w:name w:val="xl11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1">
    <w:name w:val="xl120"/>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2">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3">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6">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7">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8">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9">
    <w:name w:val="xl128"/>
    <w:basedOn w:val="1"/>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0">
    <w:name w:val="xl129"/>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1">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2">
    <w:name w:val="xl131"/>
    <w:basedOn w:val="1"/>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3">
    <w:name w:val="xl132"/>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4">
    <w:name w:val="xl133"/>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5">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6">
    <w:name w:val="xl135"/>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8">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9">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0">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1">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3">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4">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5">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6">
    <w:name w:val="正文文本 Char"/>
    <w:basedOn w:val="12"/>
    <w:link w:val="4"/>
    <w:qFormat/>
    <w:uiPriority w:val="99"/>
    <w:rPr>
      <w:rFonts w:ascii="Times New Roman" w:hAnsi="Times New Roman" w:cs="Times New Roman"/>
      <w:kern w:val="2"/>
      <w:sz w:val="21"/>
    </w:rPr>
  </w:style>
  <w:style w:type="character" w:customStyle="1" w:styleId="97">
    <w:name w:val="批注文字 Char"/>
    <w:basedOn w:val="12"/>
    <w:link w:val="3"/>
    <w:qFormat/>
    <w:uiPriority w:val="0"/>
    <w:rPr>
      <w:rFonts w:cs="Times New Roman"/>
      <w:kern w:val="2"/>
      <w:sz w:val="21"/>
    </w:rPr>
  </w:style>
  <w:style w:type="character" w:customStyle="1" w:styleId="98">
    <w:name w:val="标题 1 Char"/>
    <w:basedOn w:val="12"/>
    <w:link w:val="2"/>
    <w:qFormat/>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1442</Words>
  <Characters>8221</Characters>
  <Lines>68</Lines>
  <Paragraphs>19</Paragraphs>
  <TotalTime>1</TotalTime>
  <ScaleCrop>false</ScaleCrop>
  <LinksUpToDate>false</LinksUpToDate>
  <CharactersWithSpaces>9644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2023-08-30T00:13:45Z</cp:lastPrinted>
  <dcterms:modified xsi:type="dcterms:W3CDTF">2023-08-30T00:14:09Z</dcterms:modified>
  <dc:title>镇江海纳川物流产业发展有限责任公司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