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方正小标宋简体" w:eastAsia="方正小标宋简体" w:cs="宋体"/>
        </w:rPr>
      </w:pPr>
      <w:r>
        <w:rPr>
          <w:rFonts w:hint="eastAsia" w:ascii="方正小标宋简体" w:hAnsi="宋体" w:eastAsia="方正小标宋简体" w:cs="宋体"/>
        </w:rPr>
        <w:t>镇江海纳川物流产业发展有限责任公司</w:t>
      </w:r>
    </w:p>
    <w:p>
      <w:pPr>
        <w:pStyle w:val="2"/>
        <w:rPr>
          <w:rFonts w:ascii="方正小标宋简体" w:eastAsia="方正小标宋简体" w:cs="宋体"/>
        </w:rPr>
      </w:pPr>
      <w:r>
        <w:rPr>
          <w:rFonts w:hint="eastAsia" w:ascii="方正小标宋简体" w:hAnsi="宋体" w:eastAsia="方正小标宋简体" w:cs="宋体"/>
        </w:rPr>
        <w:t>招标文件</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我公司现</w:t>
      </w:r>
      <w:r>
        <w:rPr>
          <w:rFonts w:hint="eastAsia" w:ascii="方正仿宋简体" w:hAnsi="方正仿宋简体" w:eastAsia="方正仿宋简体" w:cs="方正仿宋简体"/>
          <w:bCs/>
          <w:sz w:val="32"/>
          <w:szCs w:val="32"/>
          <w:lang w:val="zh-CN"/>
        </w:rPr>
        <w:t>采用</w:t>
      </w:r>
      <w:r>
        <w:rPr>
          <w:rFonts w:hint="eastAsia" w:ascii="方正仿宋简体" w:hAnsi="方正仿宋简体" w:eastAsia="方正仿宋简体" w:cs="方正仿宋简体"/>
          <w:bCs/>
          <w:color w:val="FF0000"/>
          <w:sz w:val="32"/>
          <w:szCs w:val="32"/>
          <w:lang w:val="zh-CN"/>
        </w:rPr>
        <w:t>自主公开招标</w:t>
      </w:r>
      <w:r>
        <w:rPr>
          <w:rFonts w:hint="eastAsia" w:ascii="方正仿宋简体" w:hAnsi="方正仿宋简体" w:eastAsia="方正仿宋简体" w:cs="方正仿宋简体"/>
          <w:bCs/>
          <w:sz w:val="32"/>
          <w:szCs w:val="32"/>
          <w:lang w:val="zh-CN"/>
        </w:rPr>
        <w:t>的方式选定供应商，</w:t>
      </w:r>
      <w:r>
        <w:rPr>
          <w:rFonts w:hint="eastAsia" w:ascii="方正仿宋简体" w:hAnsi="方正仿宋简体" w:eastAsia="方正仿宋简体" w:cs="方正仿宋简体"/>
          <w:color w:val="FF0000"/>
          <w:sz w:val="32"/>
          <w:szCs w:val="32"/>
        </w:rPr>
        <w:t>欢迎具有相关资质的厂商前来投标。</w:t>
      </w:r>
    </w:p>
    <w:p>
      <w:pPr>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一、招标概况</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bCs/>
          <w:sz w:val="32"/>
          <w:szCs w:val="32"/>
        </w:rPr>
        <w:t>项目名称：</w:t>
      </w:r>
      <w:r>
        <w:rPr>
          <w:rFonts w:hint="eastAsia" w:ascii="方正仿宋简体" w:hAnsi="方正仿宋简体" w:eastAsia="方正仿宋简体" w:cs="方正仿宋简体"/>
          <w:bCs/>
          <w:sz w:val="32"/>
          <w:szCs w:val="32"/>
          <w:u w:val="single"/>
        </w:rPr>
        <w:t xml:space="preserve"> </w:t>
      </w:r>
      <w:r>
        <w:rPr>
          <w:rFonts w:hint="eastAsia" w:ascii="方正仿宋简体" w:hAnsi="方正仿宋简体" w:eastAsia="方正仿宋简体" w:cs="方正仿宋简体"/>
          <w:bCs/>
          <w:kern w:val="1"/>
          <w:sz w:val="32"/>
          <w:szCs w:val="32"/>
          <w:u w:val="single"/>
        </w:rPr>
        <w:t>20230907海纳川春秋工作服采购</w:t>
      </w:r>
      <w:r>
        <w:rPr>
          <w:rFonts w:hint="eastAsia" w:ascii="方正仿宋简体" w:hAnsi="方正仿宋简体" w:eastAsia="方正仿宋简体" w:cs="方正仿宋简体"/>
          <w:bCs/>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交货时间：</w:t>
      </w:r>
      <w:r>
        <w:rPr>
          <w:rFonts w:hint="eastAsia" w:ascii="方正仿宋简体" w:hAnsi="方正仿宋简体" w:eastAsia="方正仿宋简体" w:cs="方正仿宋简体"/>
          <w:kern w:val="1"/>
          <w:sz w:val="32"/>
          <w:szCs w:val="32"/>
          <w:u w:val="single"/>
        </w:rPr>
        <w:t>合同签订生效后30天内供货</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kern w:val="1"/>
          <w:sz w:val="32"/>
          <w:szCs w:val="32"/>
        </w:rPr>
        <w:t>（</w:t>
      </w:r>
      <w:r>
        <w:rPr>
          <w:rFonts w:hint="eastAsia" w:ascii="方正仿宋简体" w:hAnsi="方正仿宋简体" w:eastAsia="方正仿宋简体" w:cs="方正仿宋简体"/>
          <w:color w:val="FF0000"/>
          <w:sz w:val="30"/>
          <w:szCs w:val="30"/>
        </w:rPr>
        <w:t>允许投标人按实际交货时间填写,评标时交货期作为重要参考依据</w:t>
      </w:r>
      <w:r>
        <w:rPr>
          <w:rFonts w:hint="eastAsia" w:ascii="方正仿宋简体" w:hAnsi="方正仿宋简体" w:eastAsia="方正仿宋简体" w:cs="方正仿宋简体"/>
          <w:kern w:val="1"/>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（三）</w:t>
      </w:r>
      <w:r>
        <w:rPr>
          <w:rFonts w:hint="eastAsia" w:ascii="方正仿宋简体" w:hAnsi="方正仿宋简体" w:eastAsia="方正仿宋简体" w:cs="方正仿宋简体"/>
          <w:sz w:val="32"/>
          <w:szCs w:val="32"/>
        </w:rPr>
        <w:t>交货地点：</w:t>
      </w:r>
      <w:r>
        <w:rPr>
          <w:rFonts w:hint="eastAsia" w:ascii="方正仿宋简体" w:hAnsi="方正仿宋简体" w:eastAsia="方正仿宋简体" w:cs="方正仿宋简体"/>
          <w:sz w:val="32"/>
          <w:szCs w:val="32"/>
          <w:u w:val="single"/>
        </w:rPr>
        <w:t xml:space="preserve"> 海纳川仓库 </w:t>
      </w:r>
      <w:r>
        <w:rPr>
          <w:rFonts w:hint="eastAsia" w:ascii="方正仿宋简体" w:hAnsi="方正仿宋简体" w:eastAsia="方正仿宋简体" w:cs="方正仿宋简体"/>
          <w:sz w:val="32"/>
          <w:szCs w:val="32"/>
        </w:rPr>
        <w:t>；</w:t>
      </w:r>
      <w:bookmarkStart w:id="0" w:name="_GoBack"/>
      <w:bookmarkEnd w:id="0"/>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（四）</w:t>
      </w:r>
      <w:r>
        <w:rPr>
          <w:rFonts w:hint="eastAsia" w:ascii="方正仿宋简体" w:hAnsi="方正仿宋简体" w:eastAsia="方正仿宋简体" w:cs="方正仿宋简体"/>
          <w:sz w:val="32"/>
          <w:szCs w:val="32"/>
        </w:rPr>
        <w:t>投标截止时间：</w:t>
      </w:r>
      <w:r>
        <w:rPr>
          <w:rFonts w:hint="eastAsia" w:ascii="方正仿宋简体" w:hAnsi="方正仿宋简体" w:eastAsia="方正仿宋简体" w:cs="方正仿宋简体"/>
          <w:sz w:val="30"/>
          <w:szCs w:val="30"/>
          <w:u w:val="single"/>
        </w:rPr>
        <w:t xml:space="preserve"> </w:t>
      </w:r>
      <w:r>
        <w:rPr>
          <w:rFonts w:hint="eastAsia" w:ascii="方正仿宋简体" w:hAnsi="方正仿宋简体" w:eastAsia="方正仿宋简体" w:cs="方正仿宋简体"/>
          <w:sz w:val="30"/>
          <w:szCs w:val="30"/>
          <w:u w:val="single"/>
          <w:lang w:val="en-US" w:eastAsia="zh-CN"/>
        </w:rPr>
        <w:t>2023年9月21日下午2点整</w:t>
      </w:r>
      <w:r>
        <w:rPr>
          <w:rFonts w:hint="eastAsia" w:ascii="方正仿宋简体" w:hAnsi="方正仿宋简体" w:eastAsia="方正仿宋简体" w:cs="方正仿宋简体"/>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（五）</w:t>
      </w:r>
      <w:r>
        <w:rPr>
          <w:rFonts w:hint="eastAsia" w:ascii="方正仿宋简体" w:hAnsi="方正仿宋简体" w:eastAsia="方正仿宋简体" w:cs="方正仿宋简体"/>
          <w:sz w:val="32"/>
          <w:szCs w:val="32"/>
        </w:rPr>
        <w:t>初定开标时间：</w:t>
      </w:r>
      <w:r>
        <w:rPr>
          <w:rFonts w:hint="eastAsia" w:ascii="方正仿宋简体" w:hAnsi="方正仿宋简体" w:eastAsia="方正仿宋简体" w:cs="方正仿宋简体"/>
          <w:sz w:val="30"/>
          <w:szCs w:val="30"/>
          <w:u w:val="single"/>
        </w:rPr>
        <w:t xml:space="preserve"> </w:t>
      </w:r>
      <w:r>
        <w:rPr>
          <w:rFonts w:hint="eastAsia" w:ascii="方正仿宋简体" w:hAnsi="方正仿宋简体" w:eastAsia="方正仿宋简体" w:cs="方正仿宋简体"/>
          <w:sz w:val="30"/>
          <w:szCs w:val="30"/>
          <w:u w:val="single"/>
          <w:lang w:val="en-US" w:eastAsia="zh-CN"/>
        </w:rPr>
        <w:t>2023年9月21日下午2点整</w:t>
      </w:r>
      <w:r>
        <w:rPr>
          <w:rFonts w:hint="eastAsia" w:ascii="方正仿宋简体" w:hAnsi="方正仿宋简体" w:eastAsia="方正仿宋简体" w:cs="方正仿宋简体"/>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（六）</w:t>
      </w:r>
      <w:r>
        <w:rPr>
          <w:rFonts w:hint="eastAsia" w:ascii="方正仿宋简体" w:hAnsi="方正仿宋简体" w:eastAsia="方正仿宋简体" w:cs="方正仿宋简体"/>
          <w:sz w:val="32"/>
          <w:szCs w:val="32"/>
        </w:rPr>
        <w:t>开标地点：</w:t>
      </w:r>
      <w:r>
        <w:rPr>
          <w:rFonts w:hint="eastAsia" w:ascii="方正仿宋简体" w:hAnsi="方正仿宋简体" w:eastAsia="方正仿宋简体" w:cs="方正仿宋简体"/>
          <w:sz w:val="32"/>
          <w:szCs w:val="32"/>
          <w:u w:val="single"/>
        </w:rPr>
        <w:t>镇江海纳川物流产业发展有限责任公司210开标室</w:t>
      </w:r>
      <w:r>
        <w:rPr>
          <w:rFonts w:hint="eastAsia" w:ascii="方正仿宋简体" w:hAnsi="方正仿宋简体" w:eastAsia="方正仿宋简体" w:cs="方正仿宋简体"/>
          <w:sz w:val="32"/>
          <w:szCs w:val="32"/>
        </w:rPr>
        <w:t>；</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（七）</w:t>
      </w:r>
      <w:r>
        <w:rPr>
          <w:rFonts w:hint="eastAsia" w:ascii="方正仿宋简体" w:hAnsi="方正仿宋简体" w:eastAsia="方正仿宋简体" w:cs="方正仿宋简体"/>
          <w:sz w:val="32"/>
          <w:szCs w:val="32"/>
        </w:rPr>
        <w:t>中标公示：中标信息将于开标后在海纳川官网公示，请各投标人登录</w:t>
      </w:r>
      <w:r>
        <w:rPr>
          <w:rFonts w:hint="eastAsia" w:ascii="方正仿宋简体" w:hAnsi="方正仿宋简体" w:eastAsia="方正仿宋简体" w:cs="方正仿宋简体"/>
          <w:bCs/>
          <w:sz w:val="32"/>
          <w:szCs w:val="32"/>
        </w:rPr>
        <w:t>http://www.zjshnc.com</w:t>
      </w:r>
      <w:r>
        <w:rPr>
          <w:rFonts w:hint="eastAsia" w:ascii="方正仿宋简体" w:hAnsi="方正仿宋简体" w:eastAsia="方正仿宋简体" w:cs="方正仿宋简体"/>
          <w:sz w:val="32"/>
          <w:szCs w:val="32"/>
        </w:rPr>
        <w:t>查询。</w:t>
      </w:r>
    </w:p>
    <w:p>
      <w:pPr>
        <w:pStyle w:val="5"/>
        <w:spacing w:line="600" w:lineRule="exact"/>
        <w:ind w:firstLine="640" w:firstLineChars="200"/>
        <w:rPr>
          <w:rFonts w:ascii="方正仿宋简体" w:hAnsi="方正仿宋简体" w:eastAsia="方正仿宋简体" w:cs="方正仿宋简体"/>
          <w:kern w:val="2"/>
          <w:sz w:val="32"/>
          <w:szCs w:val="32"/>
        </w:rPr>
      </w:pPr>
      <w:r>
        <w:rPr>
          <w:rFonts w:hint="eastAsia" w:ascii="方正楷体_GBK" w:hAnsi="方正楷体_GBK" w:eastAsia="方正楷体_GBK" w:cs="方正楷体_GBK"/>
          <w:kern w:val="2"/>
          <w:sz w:val="32"/>
          <w:szCs w:val="32"/>
        </w:rPr>
        <w:t>（八）</w:t>
      </w:r>
      <w:r>
        <w:rPr>
          <w:rFonts w:hint="eastAsia" w:ascii="方正仿宋简体" w:hAnsi="方正仿宋简体" w:eastAsia="方正仿宋简体" w:cs="方正仿宋简体"/>
          <w:kern w:val="2"/>
          <w:sz w:val="32"/>
          <w:szCs w:val="32"/>
        </w:rPr>
        <w:t>该项目由海纳川统一招标，中标单位根据报价函分别与镇江海纳川物流产业发展有限责任公司（简称海纳川）、镇江海纳川公铁运输有限公司（简称公铁公司）、江苏兴普船务有限公司（简称兴普船务）签订合同。</w:t>
      </w:r>
    </w:p>
    <w:p>
      <w:pPr>
        <w:wordWrap w:val="0"/>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二、招标内容</w:t>
      </w:r>
    </w:p>
    <w:p>
      <w:pPr>
        <w:pStyle w:val="2"/>
        <w:ind w:firstLine="640" w:firstLineChars="200"/>
        <w:jc w:val="both"/>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1.货物清单(详见：</w:t>
      </w:r>
      <w:r>
        <w:rPr>
          <w:rFonts w:hint="eastAsia" w:ascii="方正仿宋简体" w:hAnsi="方正仿宋简体" w:eastAsia="方正仿宋简体" w:cs="方正仿宋简体"/>
          <w:b/>
          <w:bCs/>
          <w:sz w:val="32"/>
          <w:szCs w:val="32"/>
        </w:rPr>
        <w:t>报价函</w:t>
      </w:r>
      <w:r>
        <w:rPr>
          <w:rFonts w:hint="eastAsia" w:ascii="方正仿宋简体" w:hAnsi="方正仿宋简体" w:eastAsia="方正仿宋简体" w:cs="方正仿宋简体"/>
          <w:bCs/>
          <w:sz w:val="32"/>
          <w:szCs w:val="32"/>
        </w:rPr>
        <w:t>)　</w:t>
      </w:r>
    </w:p>
    <w:p>
      <w:pPr>
        <w:spacing w:line="360" w:lineRule="auto"/>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 xml:space="preserve">    2.技术要求</w:t>
      </w:r>
    </w:p>
    <w:p>
      <w:pPr>
        <w:spacing w:line="360" w:lineRule="auto"/>
        <w:ind w:firstLine="640"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rPr>
        <w:t>2.1投标人所供产品符合相关国家标准(或行业标准)以及安全规范和技术标准，满足我公司使用要求。</w:t>
      </w:r>
    </w:p>
    <w:p>
      <w:pPr>
        <w:spacing w:line="360" w:lineRule="auto"/>
        <w:ind w:firstLine="640"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rPr>
        <w:t>2.2投标人必须严格按照我公司招标文件中规格（物料描述）要求报价，报价时需注明报价产品生产厂家，不得修改报价函中的内容。</w:t>
      </w:r>
    </w:p>
    <w:p>
      <w:pPr>
        <w:spacing w:line="360" w:lineRule="auto"/>
        <w:ind w:firstLine="640" w:firstLineChars="200"/>
        <w:jc w:val="left"/>
        <w:rPr>
          <w:rFonts w:ascii="方正仿宋简体" w:hAnsi="方正仿宋简体" w:eastAsia="方正仿宋简体" w:cs="方正仿宋简体"/>
          <w:bCs/>
          <w:kern w:val="44"/>
          <w:sz w:val="32"/>
          <w:szCs w:val="32"/>
        </w:rPr>
      </w:pPr>
      <w:r>
        <w:rPr>
          <w:rFonts w:ascii="方正仿宋简体" w:hAnsi="方正仿宋简体" w:eastAsia="方正仿宋简体" w:cs="方正仿宋简体"/>
          <w:bCs/>
          <w:kern w:val="44"/>
          <w:sz w:val="32"/>
          <w:szCs w:val="32"/>
        </w:rPr>
        <w:t>2.3</w:t>
      </w:r>
      <w:r>
        <w:rPr>
          <w:rFonts w:hint="eastAsia" w:ascii="方正仿宋简体" w:hAnsi="方正仿宋简体" w:eastAsia="方正仿宋简体" w:cs="方正仿宋简体"/>
          <w:bCs/>
          <w:kern w:val="44"/>
          <w:sz w:val="32"/>
          <w:szCs w:val="32"/>
        </w:rPr>
        <w:t xml:space="preserve"> 投</w:t>
      </w:r>
      <w:r>
        <w:rPr>
          <w:rFonts w:ascii="方正仿宋简体" w:hAnsi="方正仿宋简体" w:eastAsia="方正仿宋简体" w:cs="方正仿宋简体"/>
          <w:bCs/>
          <w:kern w:val="44"/>
          <w:sz w:val="32"/>
          <w:szCs w:val="32"/>
        </w:rPr>
        <w:t>标</w:t>
      </w:r>
      <w:r>
        <w:rPr>
          <w:rFonts w:hint="eastAsia" w:ascii="方正仿宋简体" w:hAnsi="方正仿宋简体" w:eastAsia="方正仿宋简体" w:cs="方正仿宋简体"/>
          <w:bCs/>
          <w:kern w:val="44"/>
          <w:sz w:val="32"/>
          <w:szCs w:val="32"/>
        </w:rPr>
        <w:t>人</w:t>
      </w:r>
      <w:r>
        <w:rPr>
          <w:rFonts w:ascii="方正仿宋简体" w:hAnsi="方正仿宋简体" w:eastAsia="方正仿宋简体" w:cs="方正仿宋简体"/>
          <w:bCs/>
          <w:kern w:val="44"/>
          <w:sz w:val="32"/>
          <w:szCs w:val="32"/>
        </w:rPr>
        <w:t>必须提供</w:t>
      </w:r>
      <w:r>
        <w:rPr>
          <w:rFonts w:hint="eastAsia" w:ascii="方正仿宋简体" w:hAnsi="方正仿宋简体" w:eastAsia="方正仿宋简体" w:cs="方正仿宋简体"/>
          <w:bCs/>
          <w:kern w:val="44"/>
          <w:sz w:val="32"/>
          <w:szCs w:val="32"/>
        </w:rPr>
        <w:t>“春秋装工作服”</w:t>
      </w:r>
      <w:r>
        <w:rPr>
          <w:rFonts w:ascii="方正仿宋简体" w:hAnsi="方正仿宋简体" w:eastAsia="方正仿宋简体" w:cs="方正仿宋简体"/>
          <w:bCs/>
          <w:kern w:val="44"/>
          <w:sz w:val="32"/>
          <w:szCs w:val="32"/>
        </w:rPr>
        <w:t>样品</w:t>
      </w:r>
      <w:r>
        <w:rPr>
          <w:rFonts w:hint="eastAsia" w:ascii="方正仿宋简体" w:hAnsi="方正仿宋简体" w:eastAsia="方正仿宋简体" w:cs="方正仿宋简体"/>
          <w:bCs/>
          <w:kern w:val="44"/>
          <w:sz w:val="32"/>
          <w:szCs w:val="32"/>
        </w:rPr>
        <w:t>（详见：图样），</w:t>
      </w:r>
      <w:r>
        <w:rPr>
          <w:rFonts w:hint="eastAsia" w:ascii="仿宋" w:hAnsi="仿宋" w:eastAsia="仿宋"/>
          <w:spacing w:val="-4"/>
          <w:sz w:val="32"/>
          <w:szCs w:val="32"/>
        </w:rPr>
        <w:t>样品验收合格封存，按合格样品供货</w:t>
      </w:r>
      <w:r>
        <w:rPr>
          <w:rFonts w:ascii="方正仿宋简体" w:hAnsi="方正仿宋简体" w:eastAsia="方正仿宋简体" w:cs="方正仿宋简体"/>
          <w:bCs/>
          <w:kern w:val="44"/>
          <w:sz w:val="32"/>
          <w:szCs w:val="32"/>
        </w:rPr>
        <w:t>。</w:t>
      </w:r>
    </w:p>
    <w:p>
      <w:pPr>
        <w:spacing w:line="360" w:lineRule="auto"/>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rPr>
        <w:t>样品具体要求：</w:t>
      </w:r>
    </w:p>
    <w:p>
      <w:pPr>
        <w:spacing w:line="360" w:lineRule="auto"/>
        <w:ind w:firstLine="640"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rPr>
        <w:t>1.</w:t>
      </w:r>
      <w:r>
        <w:rPr>
          <w:rFonts w:hint="eastAsia" w:ascii="仿宋" w:hAnsi="仿宋" w:eastAsia="仿宋"/>
          <w:spacing w:val="-4"/>
          <w:sz w:val="32"/>
          <w:szCs w:val="32"/>
        </w:rPr>
        <w:t>LOGO</w:t>
      </w:r>
      <w:r>
        <w:rPr>
          <w:rFonts w:hint="eastAsia" w:ascii="方正仿宋简体" w:hAnsi="方正仿宋简体" w:eastAsia="方正仿宋简体" w:cs="方正仿宋简体"/>
          <w:bCs/>
          <w:kern w:val="44"/>
          <w:sz w:val="32"/>
          <w:szCs w:val="32"/>
        </w:rPr>
        <w:t>“</w:t>
      </w:r>
      <w:r>
        <w:rPr>
          <w:rFonts w:hint="eastAsia" w:ascii="方正仿宋简体" w:hAnsi="方正仿宋简体" w:eastAsia="方正仿宋简体" w:cs="方正仿宋简体"/>
          <w:b/>
          <w:bCs/>
          <w:kern w:val="44"/>
          <w:sz w:val="32"/>
          <w:szCs w:val="32"/>
        </w:rPr>
        <w:t>海纳川</w:t>
      </w:r>
      <w:r>
        <w:rPr>
          <w:rFonts w:hint="eastAsia" w:ascii="方正仿宋简体" w:hAnsi="方正仿宋简体" w:eastAsia="方正仿宋简体" w:cs="方正仿宋简体"/>
          <w:bCs/>
          <w:kern w:val="44"/>
          <w:sz w:val="32"/>
          <w:szCs w:val="32"/>
        </w:rPr>
        <w:t>”要求</w:t>
      </w:r>
      <w:r>
        <w:rPr>
          <w:rFonts w:hint="eastAsia" w:ascii="方正仿宋简体" w:hAnsi="方正仿宋简体" w:eastAsia="方正仿宋简体" w:cs="方正仿宋简体"/>
          <w:bCs/>
          <w:color w:val="FF0000"/>
          <w:kern w:val="44"/>
          <w:sz w:val="32"/>
          <w:szCs w:val="32"/>
        </w:rPr>
        <w:t>1.2-</w:t>
      </w:r>
      <w:r>
        <w:rPr>
          <w:rFonts w:hint="eastAsia" w:ascii="方正仿宋简体" w:hAnsi="方正仿宋简体" w:eastAsia="方正仿宋简体" w:cs="方正仿宋简体"/>
          <w:bCs/>
          <w:kern w:val="44"/>
          <w:sz w:val="32"/>
          <w:szCs w:val="32"/>
        </w:rPr>
        <w:t>1.5cm；</w:t>
      </w:r>
    </w:p>
    <w:p>
      <w:pPr>
        <w:spacing w:line="360" w:lineRule="auto"/>
        <w:ind w:firstLine="640"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rPr>
        <w:t>2.具有发光反光功能的安全警示，在可见部位使用宽度为</w:t>
      </w:r>
      <w:r>
        <w:rPr>
          <w:rFonts w:hint="eastAsia" w:ascii="方正仿宋简体" w:hAnsi="方正仿宋简体" w:eastAsia="方正仿宋简体" w:cs="方正仿宋简体"/>
          <w:bCs/>
          <w:color w:val="FF0000"/>
          <w:kern w:val="44"/>
          <w:sz w:val="32"/>
          <w:szCs w:val="32"/>
        </w:rPr>
        <w:t>1.5 cm</w:t>
      </w:r>
      <w:r>
        <w:rPr>
          <w:rFonts w:hint="eastAsia" w:ascii="方正仿宋简体" w:hAnsi="方正仿宋简体" w:eastAsia="方正仿宋简体" w:cs="方正仿宋简体"/>
          <w:bCs/>
          <w:kern w:val="44"/>
          <w:sz w:val="32"/>
          <w:szCs w:val="32"/>
        </w:rPr>
        <w:t>发光</w:t>
      </w:r>
      <w:r>
        <w:rPr>
          <w:rFonts w:hint="eastAsia" w:ascii="方正仿宋简体" w:hAnsi="方正仿宋简体" w:eastAsia="方正仿宋简体" w:cs="方正仿宋简体"/>
          <w:b/>
          <w:bCs/>
          <w:kern w:val="44"/>
          <w:sz w:val="32"/>
          <w:szCs w:val="32"/>
        </w:rPr>
        <w:t>反光带</w:t>
      </w:r>
      <w:r>
        <w:rPr>
          <w:rFonts w:hint="eastAsia" w:ascii="方正仿宋简体" w:hAnsi="方正仿宋简体" w:eastAsia="方正仿宋简体" w:cs="方正仿宋简体"/>
          <w:bCs/>
          <w:kern w:val="44"/>
          <w:sz w:val="32"/>
          <w:szCs w:val="32"/>
        </w:rPr>
        <w:t>，当它受到光线照射时具有反光功能，能够提醒周围的人的警觉和注意，从而提高使用者的安全性。</w:t>
      </w:r>
    </w:p>
    <w:p>
      <w:pPr>
        <w:spacing w:line="360" w:lineRule="auto"/>
        <w:ind w:firstLine="640"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rPr>
        <w:t>3.具有</w:t>
      </w:r>
      <w:r>
        <w:rPr>
          <w:rFonts w:hint="eastAsia" w:ascii="方正仿宋简体" w:hAnsi="方正仿宋简体" w:eastAsia="方正仿宋简体" w:cs="方正仿宋简体"/>
          <w:b/>
          <w:bCs/>
          <w:color w:val="FF0000"/>
          <w:kern w:val="44"/>
          <w:sz w:val="32"/>
          <w:szCs w:val="32"/>
        </w:rPr>
        <w:t>LA</w:t>
      </w:r>
      <w:r>
        <w:rPr>
          <w:rFonts w:hint="eastAsia" w:ascii="方正仿宋简体" w:hAnsi="方正仿宋简体" w:eastAsia="方正仿宋简体" w:cs="方正仿宋简体"/>
          <w:bCs/>
          <w:kern w:val="44"/>
          <w:sz w:val="32"/>
          <w:szCs w:val="32"/>
        </w:rPr>
        <w:t>安全标志认证,即</w:t>
      </w:r>
      <w:r>
        <w:rPr>
          <w:rFonts w:hint="eastAsia" w:ascii="方正仿宋简体" w:hAnsi="方正仿宋简体" w:eastAsia="方正仿宋简体" w:cs="方正仿宋简体"/>
          <w:b/>
          <w:bCs/>
          <w:kern w:val="44"/>
          <w:sz w:val="32"/>
          <w:szCs w:val="32"/>
        </w:rPr>
        <w:t>劳安认证</w:t>
      </w:r>
      <w:r>
        <w:rPr>
          <w:rFonts w:hint="eastAsia" w:ascii="方正仿宋简体" w:hAnsi="方正仿宋简体" w:eastAsia="方正仿宋简体" w:cs="方正仿宋简体"/>
          <w:bCs/>
          <w:kern w:val="44"/>
          <w:sz w:val="32"/>
          <w:szCs w:val="32"/>
        </w:rPr>
        <w:t>；</w:t>
      </w:r>
    </w:p>
    <w:p>
      <w:pPr>
        <w:spacing w:line="360" w:lineRule="auto"/>
        <w:ind w:firstLine="640" w:firstLineChars="200"/>
        <w:jc w:val="left"/>
        <w:rPr>
          <w:rFonts w:ascii="仿宋" w:hAnsi="仿宋" w:eastAsia="仿宋"/>
          <w:spacing w:val="-4"/>
          <w:sz w:val="32"/>
          <w:szCs w:val="32"/>
        </w:rPr>
      </w:pPr>
      <w:r>
        <w:rPr>
          <w:rFonts w:hint="eastAsia" w:ascii="方正仿宋简体" w:hAnsi="方正仿宋简体" w:eastAsia="方正仿宋简体" w:cs="方正仿宋简体"/>
          <w:bCs/>
          <w:kern w:val="44"/>
          <w:sz w:val="32"/>
          <w:szCs w:val="32"/>
        </w:rPr>
        <w:t>4.具有春秋服</w:t>
      </w:r>
      <w:r>
        <w:rPr>
          <w:rFonts w:hint="eastAsia" w:ascii="方正仿宋简体" w:hAnsi="方正仿宋简体" w:eastAsia="方正仿宋简体" w:cs="方正仿宋简体"/>
          <w:b/>
          <w:bCs/>
          <w:color w:val="FF0000"/>
          <w:kern w:val="44"/>
          <w:sz w:val="32"/>
          <w:szCs w:val="32"/>
        </w:rPr>
        <w:t>防静电</w:t>
      </w:r>
      <w:r>
        <w:rPr>
          <w:rFonts w:hint="eastAsia" w:ascii="方正仿宋简体" w:hAnsi="方正仿宋简体" w:eastAsia="方正仿宋简体" w:cs="方正仿宋简体"/>
          <w:b/>
          <w:bCs/>
          <w:kern w:val="44"/>
          <w:sz w:val="32"/>
          <w:szCs w:val="32"/>
        </w:rPr>
        <w:t>检测报告</w:t>
      </w:r>
      <w:r>
        <w:rPr>
          <w:rFonts w:hint="eastAsia" w:ascii="仿宋" w:hAnsi="仿宋" w:eastAsia="仿宋"/>
          <w:spacing w:val="-4"/>
          <w:sz w:val="32"/>
          <w:szCs w:val="32"/>
        </w:rPr>
        <w:t>；</w:t>
      </w:r>
    </w:p>
    <w:p>
      <w:pPr>
        <w:spacing w:line="360" w:lineRule="auto"/>
        <w:ind w:firstLine="624" w:firstLineChars="200"/>
        <w:jc w:val="left"/>
        <w:rPr>
          <w:rFonts w:ascii="仿宋" w:hAnsi="仿宋" w:eastAsia="仿宋"/>
          <w:spacing w:val="-4"/>
          <w:sz w:val="32"/>
          <w:szCs w:val="32"/>
        </w:rPr>
      </w:pPr>
      <w:r>
        <w:rPr>
          <w:rFonts w:hint="eastAsia" w:ascii="仿宋" w:hAnsi="仿宋" w:eastAsia="仿宋"/>
          <w:spacing w:val="-4"/>
          <w:sz w:val="32"/>
          <w:szCs w:val="32"/>
        </w:rPr>
        <w:t>5.出具书面承诺函承诺所供服装的面料与招标文件规格要求相符，不符合项须在承诺函逐项注明。</w:t>
      </w:r>
    </w:p>
    <w:p>
      <w:pPr>
        <w:spacing w:line="360" w:lineRule="auto"/>
        <w:ind w:firstLine="643"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
          <w:bCs/>
          <w:color w:val="FF0000"/>
          <w:kern w:val="44"/>
          <w:sz w:val="32"/>
          <w:szCs w:val="32"/>
          <w:highlight w:val="yellow"/>
        </w:rPr>
        <w:t>建议投标人到我公司现场查看库存实物，保证投标样品满足我公司要求</w:t>
      </w:r>
      <w:r>
        <w:rPr>
          <w:rFonts w:hint="eastAsia" w:ascii="方正仿宋简体" w:hAnsi="方正仿宋简体" w:eastAsia="方正仿宋简体" w:cs="方正仿宋简体"/>
          <w:bCs/>
          <w:kern w:val="44"/>
          <w:sz w:val="32"/>
          <w:szCs w:val="32"/>
        </w:rPr>
        <w:t>。</w:t>
      </w:r>
    </w:p>
    <w:p>
      <w:pPr>
        <w:spacing w:line="360" w:lineRule="auto"/>
        <w:jc w:val="center"/>
        <w:rPr>
          <w:rFonts w:ascii="方正仿宋简体" w:hAnsi="方正仿宋简体" w:eastAsia="方正仿宋简体" w:cs="方正仿宋简体"/>
          <w:bCs/>
          <w:kern w:val="44"/>
          <w:sz w:val="32"/>
          <w:szCs w:val="32"/>
        </w:rPr>
      </w:pPr>
      <w:r>
        <w:rPr>
          <w:rFonts w:ascii="方正仿宋简体" w:hAnsi="方正仿宋简体" w:eastAsia="方正仿宋简体" w:cs="方正仿宋简体"/>
          <w:bCs/>
          <w:kern w:val="44"/>
          <w:sz w:val="32"/>
          <w:szCs w:val="32"/>
        </w:rPr>
        <w:drawing>
          <wp:inline distT="0" distB="0" distL="0" distR="0">
            <wp:extent cx="4361180" cy="2419350"/>
            <wp:effectExtent l="19050" t="0" r="1253"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6" cstate="print"/>
                    <a:srcRect/>
                    <a:stretch>
                      <a:fillRect/>
                    </a:stretch>
                  </pic:blipFill>
                  <pic:spPr>
                    <a:xfrm>
                      <a:off x="0" y="0"/>
                      <a:ext cx="4361197" cy="2419350"/>
                    </a:xfrm>
                    <a:prstGeom prst="rect">
                      <a:avLst/>
                    </a:prstGeom>
                    <a:noFill/>
                    <a:ln w="9525">
                      <a:noFill/>
                      <a:miter lim="800000"/>
                      <a:headEnd/>
                      <a:tailEnd/>
                    </a:ln>
                  </pic:spPr>
                </pic:pic>
              </a:graphicData>
            </a:graphic>
          </wp:inline>
        </w:drawing>
      </w:r>
    </w:p>
    <w:p>
      <w:pPr>
        <w:spacing w:line="360" w:lineRule="auto"/>
        <w:ind w:firstLine="640" w:firstLineChars="200"/>
        <w:jc w:val="center"/>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rPr>
        <w:t>春秋装工作服正面图样</w:t>
      </w:r>
      <w:r>
        <w:rPr>
          <w:rFonts w:hint="eastAsia" w:ascii="方正仿宋简体" w:hAnsi="方正仿宋简体" w:eastAsia="方正仿宋简体" w:cs="方正仿宋简体"/>
          <w:bCs/>
          <w:kern w:val="44"/>
          <w:sz w:val="32"/>
          <w:szCs w:val="32"/>
        </w:rPr>
        <w:drawing>
          <wp:inline distT="0" distB="0" distL="0" distR="0">
            <wp:extent cx="4314825" cy="279336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srcRect/>
                    <a:stretch>
                      <a:fillRect/>
                    </a:stretch>
                  </pic:blipFill>
                  <pic:spPr>
                    <a:xfrm>
                      <a:off x="0" y="0"/>
                      <a:ext cx="4320829" cy="2797392"/>
                    </a:xfrm>
                    <a:prstGeom prst="rect">
                      <a:avLst/>
                    </a:prstGeom>
                    <a:noFill/>
                    <a:ln w="9525">
                      <a:noFill/>
                      <a:miter lim="800000"/>
                      <a:headEnd/>
                      <a:tailEnd/>
                    </a:ln>
                  </pic:spPr>
                </pic:pic>
              </a:graphicData>
            </a:graphic>
          </wp:inline>
        </w:drawing>
      </w:r>
    </w:p>
    <w:p>
      <w:pPr>
        <w:spacing w:line="360" w:lineRule="auto"/>
        <w:ind w:firstLine="640" w:firstLineChars="200"/>
        <w:jc w:val="center"/>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rPr>
        <w:t>春秋装工作服背面图样</w:t>
      </w:r>
    </w:p>
    <w:p>
      <w:pPr>
        <w:wordWrap w:val="0"/>
        <w:ind w:firstLine="640" w:firstLineChars="200"/>
        <w:jc w:val="left"/>
        <w:rPr>
          <w:rFonts w:ascii="方正仿宋简体" w:hAnsi="方正仿宋简体" w:eastAsia="方正仿宋简体" w:cs="方正仿宋简体"/>
          <w:bCs/>
          <w:sz w:val="32"/>
          <w:szCs w:val="32"/>
        </w:rPr>
      </w:pPr>
      <w:r>
        <w:rPr>
          <w:rFonts w:hint="eastAsia" w:ascii="方正黑体_GBK" w:hAnsi="方正黑体_GBK" w:eastAsia="方正黑体_GBK" w:cs="方正黑体_GBK"/>
          <w:sz w:val="32"/>
          <w:szCs w:val="32"/>
        </w:rPr>
        <w:t>三、投标人资质与要求</w:t>
      </w:r>
      <w:r>
        <w:rPr>
          <w:rFonts w:hint="eastAsia" w:ascii="方正仿宋简体" w:hAnsi="方正仿宋简体" w:eastAsia="方正仿宋简体" w:cs="方正仿宋简体"/>
          <w:b/>
          <w:color w:val="FF0000"/>
          <w:kern w:val="1"/>
          <w:sz w:val="32"/>
          <w:szCs w:val="32"/>
        </w:rPr>
        <w:t>（未按要求作废标处理）</w:t>
      </w:r>
    </w:p>
    <w:p>
      <w:pPr>
        <w:spacing w:line="360" w:lineRule="auto"/>
        <w:ind w:firstLine="640" w:firstLineChars="200"/>
        <w:jc w:val="left"/>
        <w:rPr>
          <w:rFonts w:ascii="方正仿宋简体" w:hAnsi="方正仿宋简体" w:eastAsia="方正仿宋简体" w:cs="方正仿宋简体"/>
          <w:sz w:val="32"/>
          <w:szCs w:val="32"/>
          <w:u w:val="single"/>
        </w:rPr>
      </w:pPr>
      <w:r>
        <w:rPr>
          <w:rFonts w:hint="eastAsia" w:ascii="方正仿宋简体" w:hAnsi="仿宋_GB2312" w:eastAsia="方正仿宋简体" w:cs="仿宋_GB2312"/>
          <w:kern w:val="1"/>
          <w:sz w:val="32"/>
          <w:szCs w:val="32"/>
        </w:rPr>
        <w:t>1．</w:t>
      </w:r>
      <w:r>
        <w:rPr>
          <w:rFonts w:hint="eastAsia" w:ascii="方正仿宋简体" w:hAnsi="方正仿宋简体" w:eastAsia="方正仿宋简体" w:cs="方正仿宋简体"/>
          <w:sz w:val="32"/>
          <w:szCs w:val="32"/>
        </w:rPr>
        <w:t>投标时需提供的</w:t>
      </w:r>
      <w:r>
        <w:rPr>
          <w:rFonts w:hint="eastAsia" w:ascii="方正仿宋简体" w:hAnsi="方正仿宋简体" w:eastAsia="方正仿宋简体" w:cs="方正仿宋简体"/>
          <w:b/>
          <w:sz w:val="32"/>
          <w:szCs w:val="32"/>
        </w:rPr>
        <w:t>必备材料</w:t>
      </w:r>
      <w:r>
        <w:rPr>
          <w:rFonts w:hint="eastAsia" w:ascii="方正仿宋简体" w:hAnsi="方正仿宋简体" w:eastAsia="方正仿宋简体" w:cs="方正仿宋简体"/>
          <w:sz w:val="32"/>
          <w:szCs w:val="32"/>
          <w:u w:val="single"/>
        </w:rPr>
        <w:t>：1)《营业执照》（复印件</w:t>
      </w:r>
      <w:r>
        <w:rPr>
          <w:rFonts w:hint="eastAsia" w:ascii="方正仿宋简体" w:hAnsi="方正仿宋简体" w:eastAsia="方正仿宋简体" w:cs="方正仿宋简体"/>
          <w:kern w:val="1"/>
          <w:sz w:val="32"/>
          <w:szCs w:val="32"/>
          <w:u w:val="single"/>
        </w:rPr>
        <w:t>需盖公章）、 2)</w:t>
      </w:r>
      <w:r>
        <w:rPr>
          <w:rFonts w:hint="eastAsia" w:ascii="方正仿宋简体" w:hAnsi="方正仿宋简体" w:eastAsia="方正仿宋简体" w:cs="方正仿宋简体"/>
          <w:sz w:val="32"/>
          <w:szCs w:val="32"/>
          <w:u w:val="single"/>
        </w:rPr>
        <w:t>报价函（</w:t>
      </w:r>
      <w:r>
        <w:rPr>
          <w:rFonts w:hint="eastAsia" w:ascii="方正仿宋简体" w:hAnsi="方正仿宋简体" w:eastAsia="方正仿宋简体" w:cs="方正仿宋简体"/>
          <w:kern w:val="1"/>
          <w:sz w:val="32"/>
          <w:szCs w:val="32"/>
          <w:u w:val="single"/>
        </w:rPr>
        <w:t>需盖公章,签字处需</w:t>
      </w:r>
      <w:r>
        <w:rPr>
          <w:rFonts w:hint="eastAsia" w:ascii="方正仿宋简体" w:hAnsi="方正仿宋简体" w:eastAsia="方正仿宋简体" w:cs="方正仿宋简体"/>
          <w:b/>
          <w:color w:val="FF0000"/>
          <w:kern w:val="1"/>
          <w:sz w:val="32"/>
          <w:szCs w:val="32"/>
          <w:u w:val="single"/>
        </w:rPr>
        <w:t>手签</w:t>
      </w:r>
      <w:r>
        <w:rPr>
          <w:rFonts w:hint="eastAsia" w:ascii="方正仿宋简体" w:hAnsi="方正仿宋简体" w:eastAsia="方正仿宋简体" w:cs="方正仿宋简体"/>
          <w:kern w:val="1"/>
          <w:sz w:val="32"/>
          <w:szCs w:val="32"/>
          <w:u w:val="single"/>
        </w:rPr>
        <w:t>，打印无效）。</w:t>
      </w:r>
    </w:p>
    <w:p>
      <w:pPr>
        <w:pStyle w:val="4"/>
        <w:spacing w:after="0" w:line="600" w:lineRule="exact"/>
        <w:ind w:firstLine="640" w:firstLineChars="200"/>
        <w:rPr>
          <w:rFonts w:ascii="方正仿宋简体" w:hAnsi="方正仿宋简体" w:eastAsia="方正仿宋简体" w:cs="方正仿宋简体"/>
          <w:bCs/>
          <w:color w:val="FF0000"/>
          <w:sz w:val="30"/>
          <w:szCs w:val="30"/>
        </w:rPr>
      </w:pPr>
      <w:r>
        <w:rPr>
          <w:rFonts w:hint="eastAsia" w:ascii="方正仿宋简体" w:hAnsi="方正仿宋简体" w:eastAsia="方正仿宋简体" w:cs="方正仿宋简体"/>
          <w:bCs/>
          <w:color w:val="FF0000"/>
          <w:kern w:val="1"/>
          <w:sz w:val="32"/>
          <w:szCs w:val="32"/>
        </w:rPr>
        <w:t>2.</w:t>
      </w:r>
      <w:r>
        <w:rPr>
          <w:rFonts w:hint="eastAsia" w:ascii="方正仿宋简体" w:hAnsi="方正仿宋简体" w:eastAsia="方正仿宋简体" w:cs="方正仿宋简体"/>
          <w:bCs/>
          <w:color w:val="FF0000"/>
          <w:sz w:val="30"/>
          <w:szCs w:val="30"/>
        </w:rPr>
        <w:t>不接受被列入失信被执行人、重大违法案件当事人投标；</w:t>
      </w:r>
    </w:p>
    <w:p>
      <w:pPr>
        <w:adjustRightInd w:val="0"/>
        <w:snapToGrid w:val="0"/>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w:t>
      </w:r>
      <w:r>
        <w:rPr>
          <w:rFonts w:hint="eastAsia" w:ascii="方正仿宋简体" w:hAnsi="方正仿宋简体" w:eastAsia="方正仿宋简体" w:cs="方正仿宋简体"/>
          <w:bCs/>
          <w:kern w:val="1"/>
          <w:sz w:val="32"/>
          <w:szCs w:val="32"/>
        </w:rPr>
        <w:t>投标人应</w:t>
      </w:r>
      <w:r>
        <w:rPr>
          <w:rFonts w:hint="eastAsia" w:ascii="方正仿宋简体" w:hAnsi="方正仿宋简体" w:eastAsia="方正仿宋简体" w:cs="方正仿宋简体"/>
          <w:bCs/>
          <w:sz w:val="32"/>
          <w:szCs w:val="32"/>
        </w:rPr>
        <w:t>具备良好的售后服务能力，要求电话联系后</w:t>
      </w:r>
    </w:p>
    <w:p>
      <w:pPr>
        <w:adjustRightInd w:val="0"/>
        <w:snapToGrid w:val="0"/>
        <w:spacing w:line="600" w:lineRule="exact"/>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u w:val="single"/>
        </w:rPr>
        <w:t xml:space="preserve"> 24小时 </w:t>
      </w:r>
      <w:r>
        <w:rPr>
          <w:rFonts w:hint="eastAsia" w:ascii="方正仿宋简体" w:hAnsi="方正仿宋简体" w:eastAsia="方正仿宋简体" w:cs="方正仿宋简体"/>
          <w:bCs/>
          <w:sz w:val="32"/>
          <w:szCs w:val="32"/>
        </w:rPr>
        <w:t>内必须给予回复，明确解决方案，</w:t>
      </w:r>
      <w:r>
        <w:rPr>
          <w:rFonts w:hint="eastAsia" w:ascii="方正仿宋简体" w:hAnsi="方正仿宋简体" w:eastAsia="方正仿宋简体" w:cs="方正仿宋简体"/>
          <w:sz w:val="32"/>
          <w:szCs w:val="32"/>
        </w:rPr>
        <w:t>必要时需来我公司作技术指导</w:t>
      </w:r>
      <w:r>
        <w:rPr>
          <w:rFonts w:hint="eastAsia" w:ascii="方正仿宋简体" w:hAnsi="方正仿宋简体" w:eastAsia="方正仿宋简体" w:cs="方正仿宋简体"/>
          <w:bCs/>
          <w:sz w:val="32"/>
          <w:szCs w:val="32"/>
        </w:rPr>
        <w:t>；</w:t>
      </w:r>
    </w:p>
    <w:p>
      <w:pPr>
        <w:adjustRightInd w:val="0"/>
        <w:snapToGrid w:val="0"/>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kern w:val="1"/>
          <w:sz w:val="32"/>
          <w:szCs w:val="32"/>
        </w:rPr>
        <w:t>4.</w:t>
      </w:r>
      <w:r>
        <w:rPr>
          <w:rFonts w:hint="eastAsia" w:ascii="方正仿宋简体" w:hAnsi="方正仿宋简体" w:eastAsia="方正仿宋简体" w:cs="方正仿宋简体"/>
          <w:bCs/>
          <w:sz w:val="32"/>
          <w:szCs w:val="32"/>
        </w:rPr>
        <w:t>投标人所供产品引起的知识产权方面的纠纷，由投标人承担一切后果，招标人不承担任何责任。</w:t>
      </w:r>
    </w:p>
    <w:p>
      <w:pPr>
        <w:wordWrap w:val="0"/>
        <w:spacing w:line="360" w:lineRule="auto"/>
        <w:ind w:firstLine="640"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rPr>
        <w:t>5.投</w:t>
      </w:r>
      <w:r>
        <w:rPr>
          <w:rFonts w:ascii="方正仿宋简体" w:hAnsi="方正仿宋简体" w:eastAsia="方正仿宋简体" w:cs="方正仿宋简体"/>
          <w:bCs/>
          <w:kern w:val="44"/>
          <w:sz w:val="32"/>
          <w:szCs w:val="32"/>
        </w:rPr>
        <w:t>标</w:t>
      </w:r>
      <w:r>
        <w:rPr>
          <w:rFonts w:hint="eastAsia" w:ascii="方正仿宋简体" w:hAnsi="方正仿宋简体" w:eastAsia="方正仿宋简体" w:cs="方正仿宋简体"/>
          <w:bCs/>
          <w:kern w:val="44"/>
          <w:sz w:val="32"/>
          <w:szCs w:val="32"/>
        </w:rPr>
        <w:t>人须提供生产厂家特种劳动防护用品安全标志证书、防静电</w:t>
      </w:r>
      <w:r>
        <w:rPr>
          <w:rFonts w:ascii="方正仿宋简体" w:hAnsi="方正仿宋简体" w:eastAsia="方正仿宋简体" w:cs="方正仿宋简体"/>
          <w:bCs/>
          <w:kern w:val="44"/>
          <w:sz w:val="32"/>
          <w:szCs w:val="32"/>
        </w:rPr>
        <w:t>检测报告。</w:t>
      </w:r>
    </w:p>
    <w:p>
      <w:pPr>
        <w:wordWrap w:val="0"/>
        <w:spacing w:line="360" w:lineRule="auto"/>
        <w:ind w:firstLine="640"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rPr>
        <w:t>6.投标时须随投标文件一并提供“春秋装工作服”</w:t>
      </w:r>
      <w:r>
        <w:rPr>
          <w:rFonts w:ascii="方正仿宋简体" w:hAnsi="方正仿宋简体" w:eastAsia="方正仿宋简体" w:cs="方正仿宋简体"/>
          <w:bCs/>
          <w:kern w:val="44"/>
          <w:sz w:val="32"/>
          <w:szCs w:val="32"/>
        </w:rPr>
        <w:t>样品</w:t>
      </w:r>
      <w:r>
        <w:rPr>
          <w:rFonts w:hint="eastAsia" w:ascii="方正仿宋简体" w:hAnsi="方正仿宋简体" w:eastAsia="方正仿宋简体" w:cs="方正仿宋简体"/>
          <w:bCs/>
          <w:kern w:val="44"/>
          <w:sz w:val="32"/>
          <w:szCs w:val="32"/>
        </w:rPr>
        <w:t>。</w:t>
      </w:r>
    </w:p>
    <w:p>
      <w:pPr>
        <w:wordWrap w:val="0"/>
        <w:spacing w:line="360" w:lineRule="auto"/>
        <w:ind w:firstLine="640" w:firstLineChars="200"/>
        <w:jc w:val="left"/>
        <w:rPr>
          <w:rFonts w:ascii="方正仿宋简体" w:hAnsi="方正仿宋简体" w:eastAsia="方正仿宋简体" w:cs="方正仿宋简体"/>
          <w:bCs/>
          <w:kern w:val="44"/>
          <w:sz w:val="32"/>
          <w:szCs w:val="32"/>
        </w:rPr>
      </w:pPr>
      <w:r>
        <w:rPr>
          <w:rFonts w:hint="eastAsia" w:ascii="方正仿宋简体" w:hAnsi="方正仿宋简体" w:eastAsia="方正仿宋简体" w:cs="方正仿宋简体"/>
          <w:bCs/>
          <w:kern w:val="44"/>
          <w:sz w:val="32"/>
          <w:szCs w:val="32"/>
        </w:rPr>
        <w:t>7.</w:t>
      </w:r>
      <w:r>
        <w:rPr>
          <w:rFonts w:hint="eastAsia" w:ascii="方正仿宋简体" w:hAnsi="方正仿宋简体" w:eastAsia="方正仿宋简体" w:cs="方正仿宋简体"/>
          <w:b/>
          <w:bCs/>
          <w:color w:val="FF0000"/>
          <w:kern w:val="44"/>
          <w:sz w:val="32"/>
          <w:szCs w:val="32"/>
          <w:highlight w:val="yellow"/>
        </w:rPr>
        <w:t>提供虚假材料，一经发现，一律按废标处理</w:t>
      </w:r>
      <w:r>
        <w:rPr>
          <w:rFonts w:hint="eastAsia" w:ascii="方正仿宋简体" w:hAnsi="方正仿宋简体" w:eastAsia="方正仿宋简体" w:cs="方正仿宋简体"/>
          <w:bCs/>
          <w:kern w:val="44"/>
          <w:sz w:val="32"/>
          <w:szCs w:val="32"/>
        </w:rPr>
        <w:t>。</w:t>
      </w:r>
    </w:p>
    <w:p>
      <w:pPr>
        <w:pStyle w:val="5"/>
        <w:spacing w:line="600" w:lineRule="exact"/>
        <w:ind w:firstLine="640" w:firstLineChars="200"/>
        <w:rPr>
          <w:rFonts w:ascii="方正仿宋简体" w:hAnsi="方正仿宋简体" w:eastAsia="方正仿宋简体" w:cs="方正仿宋简体"/>
          <w:bCs/>
          <w:sz w:val="32"/>
          <w:szCs w:val="32"/>
        </w:rPr>
      </w:pPr>
      <w:r>
        <w:rPr>
          <w:rFonts w:hint="eastAsia" w:ascii="方正黑体_GBK" w:hAnsi="方正黑体_GBK" w:eastAsia="方正黑体_GBK" w:cs="方正黑体_GBK"/>
          <w:kern w:val="2"/>
          <w:sz w:val="32"/>
          <w:szCs w:val="32"/>
        </w:rPr>
        <w:t>四、投标</w:t>
      </w:r>
    </w:p>
    <w:p>
      <w:pPr>
        <w:pStyle w:val="5"/>
        <w:spacing w:line="600" w:lineRule="exact"/>
        <w:ind w:firstLine="640" w:firstLineChars="200"/>
        <w:rPr>
          <w:rFonts w:ascii="方正仿宋简体" w:hAnsi="方正仿宋简体" w:eastAsia="方正仿宋简体" w:cs="方正仿宋简体"/>
          <w:bCs/>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报价方式：</w:t>
      </w:r>
      <w:r>
        <w:rPr>
          <w:rFonts w:hint="eastAsia" w:ascii="方正仿宋简体" w:hAnsi="方正仿宋简体" w:eastAsia="方正仿宋简体" w:cs="方正仿宋简体"/>
          <w:bCs/>
          <w:sz w:val="32"/>
          <w:szCs w:val="32"/>
        </w:rPr>
        <w:t>报价为含增值税送到价。如国家税率调整，按合同含税价格/（1+合同约定税率）*（1+国家规定的新税率）调整合同价格开具发票；</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付款方式：</w:t>
      </w:r>
      <w:r>
        <w:rPr>
          <w:rFonts w:hint="eastAsia" w:ascii="方正仿宋简体" w:hAnsi="方正仿宋简体" w:eastAsia="方正仿宋简体" w:cs="方正仿宋简体"/>
          <w:kern w:val="1"/>
          <w:sz w:val="32"/>
          <w:szCs w:val="32"/>
          <w:u w:val="single"/>
        </w:rPr>
        <w:t>买受人自收到标的物验收合格并且收到出卖人开具的增值税发票后</w:t>
      </w:r>
      <w:r>
        <w:rPr>
          <w:rFonts w:hint="eastAsia" w:ascii="方正仿宋简体" w:hAnsi="方正仿宋简体" w:eastAsia="方正仿宋简体" w:cs="方正仿宋简体"/>
          <w:b/>
          <w:kern w:val="1"/>
          <w:sz w:val="32"/>
          <w:szCs w:val="32"/>
          <w:u w:val="single"/>
        </w:rPr>
        <w:t>60日内以银行承兑</w:t>
      </w:r>
      <w:r>
        <w:rPr>
          <w:rFonts w:hint="eastAsia" w:ascii="方正仿宋简体" w:hAnsi="方正仿宋简体" w:eastAsia="方正仿宋简体" w:cs="方正仿宋简体"/>
          <w:kern w:val="1"/>
          <w:sz w:val="32"/>
          <w:szCs w:val="32"/>
          <w:u w:val="single"/>
        </w:rPr>
        <w:t>方式付款，本次招标</w:t>
      </w:r>
      <w:r>
        <w:rPr>
          <w:rFonts w:hint="eastAsia" w:ascii="方正仿宋简体" w:hAnsi="方正仿宋简体" w:eastAsia="方正仿宋简体" w:cs="方正仿宋简体"/>
          <w:b/>
          <w:color w:val="FF0000"/>
          <w:kern w:val="1"/>
          <w:sz w:val="32"/>
          <w:szCs w:val="32"/>
          <w:u w:val="single"/>
        </w:rPr>
        <w:t>不接受</w:t>
      </w:r>
      <w:r>
        <w:rPr>
          <w:rFonts w:hint="eastAsia" w:ascii="方正仿宋简体" w:hAnsi="方正仿宋简体" w:eastAsia="方正仿宋简体" w:cs="方正仿宋简体"/>
          <w:b/>
          <w:kern w:val="1"/>
          <w:sz w:val="32"/>
          <w:szCs w:val="32"/>
          <w:u w:val="single"/>
        </w:rPr>
        <w:t>款到发货</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bCs/>
          <w:kern w:val="0"/>
          <w:sz w:val="32"/>
          <w:szCs w:val="32"/>
        </w:rPr>
        <w:t>如投标人不接受招标人提出的付款方式，可在报价书中明确能够接受的付款方式及付款时间，评标时作为参考。报价为含税价，请注明税率。</w:t>
      </w:r>
      <w:r>
        <w:rPr>
          <w:rFonts w:hint="eastAsia" w:ascii="方正仿宋简体" w:hAnsi="方正仿宋简体" w:eastAsia="方正仿宋简体" w:cs="方正仿宋简体"/>
          <w:bCs/>
          <w:kern w:val="1"/>
          <w:sz w:val="32"/>
          <w:szCs w:val="32"/>
        </w:rPr>
        <w:t>）</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本项目投标可通过线上和线下两种方式进行：</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1.采用线上投标需严格按照1688线上格式要求填写报价，同时上传招标文件中所规定的</w:t>
      </w:r>
      <w:r>
        <w:rPr>
          <w:rFonts w:hint="eastAsia" w:ascii="方正仿宋简体" w:hAnsi="方正仿宋简体" w:eastAsia="方正仿宋简体" w:cs="方正仿宋简体"/>
          <w:b/>
          <w:sz w:val="32"/>
          <w:szCs w:val="32"/>
        </w:rPr>
        <w:t>必备</w:t>
      </w:r>
      <w:r>
        <w:rPr>
          <w:rFonts w:hint="eastAsia" w:ascii="方正仿宋简体" w:hAnsi="方正仿宋简体" w:eastAsia="方正仿宋简体" w:cs="方正仿宋简体"/>
          <w:b/>
          <w:bCs/>
          <w:kern w:val="1"/>
          <w:sz w:val="32"/>
          <w:szCs w:val="32"/>
        </w:rPr>
        <w:t>材料</w:t>
      </w:r>
      <w:r>
        <w:rPr>
          <w:rFonts w:hint="eastAsia" w:ascii="方正仿宋简体" w:hAnsi="方正仿宋简体" w:eastAsia="方正仿宋简体" w:cs="方正仿宋简体"/>
          <w:bCs/>
          <w:color w:val="FF0000"/>
          <w:kern w:val="1"/>
          <w:sz w:val="32"/>
          <w:szCs w:val="32"/>
        </w:rPr>
        <w:t>（加盖公章）</w:t>
      </w:r>
      <w:r>
        <w:rPr>
          <w:rFonts w:hint="eastAsia" w:ascii="方正仿宋简体" w:hAnsi="方正仿宋简体" w:eastAsia="方正仿宋简体" w:cs="方正仿宋简体"/>
          <w:bCs/>
          <w:kern w:val="1"/>
          <w:sz w:val="32"/>
          <w:szCs w:val="32"/>
        </w:rPr>
        <w:t>。</w:t>
      </w:r>
    </w:p>
    <w:p>
      <w:pPr>
        <w:wordWrap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bCs/>
          <w:kern w:val="1"/>
          <w:sz w:val="32"/>
          <w:szCs w:val="32"/>
        </w:rPr>
        <w:t>2.采用线下投标应</w:t>
      </w:r>
      <w:r>
        <w:rPr>
          <w:rFonts w:hint="eastAsia" w:ascii="方正仿宋简体" w:hAnsi="方正仿宋简体" w:eastAsia="方正仿宋简体" w:cs="方正仿宋简体"/>
          <w:bCs/>
          <w:sz w:val="32"/>
          <w:szCs w:val="32"/>
        </w:rPr>
        <w:t>将报价书及相关资料以标袋形式送达，标袋外包装必须用“封条”密封，封条“格式自定”，另需加盖公章、法人章，填写密封日期；在标袋封面上需注明“投标项目名称，投标方名称、地址、联系人、联系电话”等；</w:t>
      </w:r>
      <w:r>
        <w:rPr>
          <w:rFonts w:hint="eastAsia" w:ascii="方正仿宋简体" w:hAnsi="方正仿宋简体" w:eastAsia="方正仿宋简体" w:cs="方正仿宋简体"/>
          <w:kern w:val="1"/>
          <w:sz w:val="32"/>
          <w:szCs w:val="32"/>
        </w:rPr>
        <w:t>并要求在投标截止日之前送达，逾期将作为作</w:t>
      </w:r>
      <w:r>
        <w:rPr>
          <w:rFonts w:hint="eastAsia" w:ascii="方正仿宋简体" w:hAnsi="方正仿宋简体" w:eastAsia="方正仿宋简体" w:cs="方正仿宋简体"/>
          <w:b/>
          <w:color w:val="FF0000"/>
          <w:kern w:val="1"/>
          <w:sz w:val="32"/>
          <w:szCs w:val="32"/>
        </w:rPr>
        <w:t>废标</w:t>
      </w:r>
      <w:r>
        <w:rPr>
          <w:rFonts w:hint="eastAsia" w:ascii="方正仿宋简体" w:hAnsi="方正仿宋简体" w:eastAsia="方正仿宋简体" w:cs="方正仿宋简体"/>
          <w:kern w:val="1"/>
          <w:sz w:val="32"/>
          <w:szCs w:val="32"/>
        </w:rPr>
        <w:t>处理。</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kern w:val="1"/>
          <w:sz w:val="32"/>
          <w:szCs w:val="32"/>
        </w:rPr>
        <w:t>（四）</w:t>
      </w:r>
      <w:r>
        <w:rPr>
          <w:rFonts w:hint="eastAsia" w:ascii="方正仿宋简体" w:hAnsi="方正仿宋简体" w:eastAsia="方正仿宋简体" w:cs="方正仿宋简体"/>
          <w:kern w:val="1"/>
          <w:sz w:val="32"/>
          <w:szCs w:val="32"/>
        </w:rPr>
        <w:t>具体报价格式见</w:t>
      </w:r>
      <w:r>
        <w:rPr>
          <w:rFonts w:hint="eastAsia" w:ascii="方正仿宋简体" w:hAnsi="方正仿宋简体" w:eastAsia="方正仿宋简体" w:cs="方正仿宋简体"/>
          <w:b/>
          <w:kern w:val="1"/>
          <w:sz w:val="32"/>
          <w:szCs w:val="32"/>
        </w:rPr>
        <w:t>报价函</w:t>
      </w:r>
      <w:r>
        <w:rPr>
          <w:rFonts w:hint="eastAsia" w:ascii="方正仿宋简体" w:hAnsi="方正仿宋简体" w:eastAsia="方正仿宋简体" w:cs="方正仿宋简体"/>
          <w:kern w:val="1"/>
          <w:sz w:val="32"/>
          <w:szCs w:val="32"/>
        </w:rPr>
        <w:t>，报价文件需提供</w:t>
      </w:r>
      <w:r>
        <w:rPr>
          <w:rFonts w:hint="eastAsia" w:ascii="方正仿宋简体" w:hAnsi="方正仿宋简体" w:eastAsia="方正仿宋简体" w:cs="方正仿宋简体"/>
          <w:color w:val="FF0000"/>
          <w:kern w:val="1"/>
          <w:sz w:val="32"/>
          <w:szCs w:val="32"/>
          <w:u w:val="single"/>
        </w:rPr>
        <w:t xml:space="preserve"> 1 </w:t>
      </w:r>
      <w:r>
        <w:rPr>
          <w:rFonts w:hint="eastAsia" w:ascii="方正仿宋简体" w:hAnsi="方正仿宋简体" w:eastAsia="方正仿宋简体" w:cs="方正仿宋简体"/>
          <w:kern w:val="1"/>
          <w:sz w:val="32"/>
          <w:szCs w:val="32"/>
        </w:rPr>
        <w:t>份；</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（五）</w:t>
      </w:r>
      <w:r>
        <w:rPr>
          <w:rFonts w:hint="eastAsia" w:ascii="方正仿宋简体" w:hAnsi="方正仿宋简体" w:eastAsia="方正仿宋简体" w:cs="方正仿宋简体"/>
          <w:bCs/>
          <w:kern w:val="1"/>
          <w:sz w:val="32"/>
          <w:szCs w:val="32"/>
        </w:rPr>
        <w:t>采用线下投标的，投标文件请密封邮寄：</w:t>
      </w:r>
    </w:p>
    <w:p>
      <w:pPr>
        <w:pStyle w:val="16"/>
        <w:tabs>
          <w:tab w:val="left" w:pos="180"/>
        </w:tabs>
        <w:wordWrap w:val="0"/>
        <w:adjustRightInd w:val="0"/>
        <w:snapToGrid w:val="0"/>
        <w:spacing w:line="600" w:lineRule="exact"/>
        <w:ind w:firstLine="640"/>
        <w:jc w:val="left"/>
        <w:rPr>
          <w:rFonts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公司：</w:t>
      </w:r>
      <w:r>
        <w:rPr>
          <w:rFonts w:hint="eastAsia" w:ascii="方正仿宋简体" w:hAnsi="方正仿宋简体" w:eastAsia="方正仿宋简体" w:cs="方正仿宋简体"/>
          <w:bCs/>
          <w:kern w:val="1"/>
          <w:sz w:val="30"/>
          <w:szCs w:val="30"/>
        </w:rPr>
        <w:t>镇江海纳川物流产业发展有限责任公司审计风控部</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邮编：212006</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收件人：邵蕾</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联系电话：15050893302</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（六）</w:t>
      </w:r>
      <w:r>
        <w:rPr>
          <w:rFonts w:hint="eastAsia" w:ascii="方正仿宋简体" w:hAnsi="方正仿宋简体" w:eastAsia="方正仿宋简体" w:cs="方正仿宋简体"/>
          <w:bCs/>
          <w:kern w:val="1"/>
          <w:sz w:val="32"/>
          <w:szCs w:val="32"/>
        </w:rPr>
        <w:t>凡对招标文件条款有疑义的，请在开标前按以下方式联系：</w:t>
      </w:r>
    </w:p>
    <w:p>
      <w:pPr>
        <w:pStyle w:val="16"/>
        <w:tabs>
          <w:tab w:val="left" w:pos="180"/>
        </w:tabs>
        <w:wordWrap w:val="0"/>
        <w:adjustRightInd w:val="0"/>
        <w:snapToGrid w:val="0"/>
        <w:spacing w:line="600" w:lineRule="exact"/>
        <w:ind w:firstLine="64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联系单位：镇江海纳川物流产业发展有限责任公司</w:t>
      </w:r>
    </w:p>
    <w:p>
      <w:pPr>
        <w:adjustRightInd w:val="0"/>
        <w:snapToGrid w:val="0"/>
        <w:spacing w:line="600" w:lineRule="exact"/>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 xml:space="preserve">    地址：江苏省镇江市京口区求索路66号，邮编：212006</w:t>
      </w:r>
    </w:p>
    <w:p>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招标业务联系人：邵蕾     电话：15050893302</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技术部门联系人：周祥生   电话：13861358963</w:t>
      </w:r>
      <w:r>
        <w:rPr>
          <w:rFonts w:hint="eastAsia" w:ascii="方正仿宋简体" w:hAnsi="方正仿宋简体" w:eastAsia="方正仿宋简体" w:cs="方正仿宋简体"/>
          <w:bCs/>
          <w:color w:val="FF0000"/>
          <w:kern w:val="1"/>
          <w:sz w:val="32"/>
          <w:szCs w:val="32"/>
        </w:rPr>
        <w:t xml:space="preserve"> </w:t>
      </w:r>
    </w:p>
    <w:p>
      <w:pPr>
        <w:pStyle w:val="5"/>
        <w:numPr>
          <w:ilvl w:val="0"/>
          <w:numId w:val="1"/>
        </w:numPr>
        <w:spacing w:line="600" w:lineRule="exact"/>
        <w:ind w:firstLine="640" w:firstLineChars="200"/>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开标、评标及废标：</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开标</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本项目由招标人组织评标小组负责开标工作，对各投标人报价进行评标，确定最终中标人。</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1.请各投标人保持通讯畅通，便于</w:t>
      </w:r>
      <w:r>
        <w:rPr>
          <w:rFonts w:hint="eastAsia" w:ascii="方正仿宋简体" w:hAnsi="方正仿宋简体" w:eastAsia="方正仿宋简体" w:cs="方正仿宋简体"/>
          <w:kern w:val="1"/>
          <w:sz w:val="32"/>
          <w:szCs w:val="32"/>
        </w:rPr>
        <w:t>评标小组在开标现场电话联系</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sz w:val="32"/>
          <w:szCs w:val="32"/>
        </w:rPr>
        <w:t>确认标书中的相关信息，投标人必须及时回复开标过程中招标人提出的问题，合理解释投标文件与招标文件的偏离。如评标小组开标现场10分钟内电话联系不上投标人，且投标文件与招标文件的偏离影响定标结果，则视为投标人主动放弃本项目投标，开标结束后不再接受投标人的任何解释。</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 xml:space="preserve">2.评标小组不得泄露各投标人的报价。   </w:t>
      </w:r>
    </w:p>
    <w:p>
      <w:pPr>
        <w:spacing w:line="360" w:lineRule="auto"/>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评标</w:t>
      </w:r>
    </w:p>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1.综合</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color w:val="FF0000"/>
          <w:sz w:val="32"/>
          <w:szCs w:val="32"/>
        </w:rPr>
        <w:t>本次采用该种评标方式</w:t>
      </w:r>
      <w:r>
        <w:rPr>
          <w:rFonts w:hint="eastAsia" w:ascii="方正仿宋简体" w:hAnsi="方正仿宋简体" w:eastAsia="方正仿宋简体" w:cs="方正仿宋简体"/>
          <w:sz w:val="32"/>
          <w:szCs w:val="32"/>
        </w:rPr>
        <w:t>）</w:t>
      </w:r>
    </w:p>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采取综合评审方法进行打分，具体按价格得分、技术（质量）得分、商务得分（详见：春秋工作服综合评分细则）三个方面进行评审，并按综合得分由高到低顺序推选一名中标候选人。</w:t>
      </w:r>
    </w:p>
    <w:p>
      <w:pPr>
        <w:jc w:val="center"/>
        <w:rPr>
          <w:b/>
          <w:bCs/>
          <w:kern w:val="44"/>
          <w:sz w:val="32"/>
          <w:szCs w:val="32"/>
        </w:rPr>
      </w:pPr>
      <w:r>
        <w:rPr>
          <w:rFonts w:hint="eastAsia" w:ascii="方正仿宋简体" w:hAnsi="方正仿宋简体" w:eastAsia="方正仿宋简体" w:cs="方正仿宋简体"/>
          <w:b/>
          <w:bCs/>
          <w:kern w:val="1"/>
          <w:sz w:val="32"/>
          <w:szCs w:val="32"/>
        </w:rPr>
        <w:t>春秋工作服综合评分细则</w:t>
      </w:r>
    </w:p>
    <w:tbl>
      <w:tblPr>
        <w:tblStyle w:val="12"/>
        <w:tblW w:w="9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60"/>
        <w:gridCol w:w="918"/>
        <w:gridCol w:w="1177"/>
        <w:gridCol w:w="5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710" w:type="dxa"/>
            <w:vAlign w:val="center"/>
          </w:tcPr>
          <w:p>
            <w:pPr>
              <w:widowControl/>
              <w:jc w:val="center"/>
              <w:rPr>
                <w:rFonts w:ascii="宋体" w:hAnsi="宋体"/>
                <w:b/>
                <w:szCs w:val="21"/>
              </w:rPr>
            </w:pPr>
            <w:r>
              <w:rPr>
                <w:rFonts w:hint="eastAsia" w:ascii="宋体" w:hAnsi="宋体"/>
                <w:b/>
                <w:szCs w:val="21"/>
              </w:rPr>
              <w:t>序号</w:t>
            </w:r>
          </w:p>
        </w:tc>
        <w:tc>
          <w:tcPr>
            <w:tcW w:w="1460" w:type="dxa"/>
            <w:vAlign w:val="center"/>
          </w:tcPr>
          <w:p>
            <w:pPr>
              <w:widowControl/>
              <w:jc w:val="center"/>
              <w:rPr>
                <w:rFonts w:ascii="宋体" w:hAnsi="宋体"/>
                <w:b/>
                <w:szCs w:val="21"/>
              </w:rPr>
            </w:pPr>
            <w:r>
              <w:rPr>
                <w:rFonts w:hint="eastAsia" w:ascii="宋体" w:hAnsi="宋体"/>
                <w:b/>
                <w:szCs w:val="21"/>
              </w:rPr>
              <w:t>内容</w:t>
            </w:r>
          </w:p>
        </w:tc>
        <w:tc>
          <w:tcPr>
            <w:tcW w:w="918" w:type="dxa"/>
            <w:vAlign w:val="center"/>
          </w:tcPr>
          <w:p>
            <w:pPr>
              <w:widowControl/>
              <w:jc w:val="center"/>
              <w:rPr>
                <w:rFonts w:ascii="宋体" w:hAnsi="宋体"/>
                <w:b/>
                <w:szCs w:val="21"/>
              </w:rPr>
            </w:pPr>
            <w:r>
              <w:rPr>
                <w:rFonts w:hint="eastAsia" w:ascii="宋体" w:hAnsi="宋体"/>
                <w:b/>
                <w:szCs w:val="21"/>
              </w:rPr>
              <w:t>满分值</w:t>
            </w:r>
          </w:p>
        </w:tc>
        <w:tc>
          <w:tcPr>
            <w:tcW w:w="1177" w:type="dxa"/>
            <w:vAlign w:val="center"/>
          </w:tcPr>
          <w:p>
            <w:pPr>
              <w:widowControl/>
              <w:jc w:val="center"/>
              <w:rPr>
                <w:rFonts w:ascii="宋体" w:hAnsi="宋体"/>
                <w:b/>
                <w:szCs w:val="21"/>
              </w:rPr>
            </w:pPr>
            <w:r>
              <w:rPr>
                <w:rFonts w:hint="eastAsia" w:ascii="宋体" w:hAnsi="宋体"/>
                <w:b/>
                <w:szCs w:val="21"/>
              </w:rPr>
              <w:t>评分项</w:t>
            </w:r>
          </w:p>
        </w:tc>
        <w:tc>
          <w:tcPr>
            <w:tcW w:w="5397" w:type="dxa"/>
            <w:vAlign w:val="center"/>
          </w:tcPr>
          <w:p>
            <w:pPr>
              <w:widowControl/>
              <w:jc w:val="center"/>
              <w:rPr>
                <w:rFonts w:ascii="宋体" w:hAnsi="宋体"/>
                <w:b/>
                <w:szCs w:val="21"/>
              </w:rPr>
            </w:pPr>
            <w:r>
              <w:rPr>
                <w:rFonts w:hint="eastAsia" w:ascii="宋体" w:hAnsi="宋体"/>
                <w:b/>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662" w:type="dxa"/>
            <w:gridSpan w:val="5"/>
            <w:vAlign w:val="center"/>
          </w:tcPr>
          <w:p>
            <w:pPr>
              <w:widowControl/>
              <w:jc w:val="left"/>
              <w:rPr>
                <w:rFonts w:ascii="宋体" w:hAnsi="宋体"/>
                <w:szCs w:val="21"/>
              </w:rPr>
            </w:pPr>
            <w:r>
              <w:rPr>
                <w:rFonts w:hint="eastAsia" w:ascii="宋体" w:hAnsi="宋体"/>
                <w:b/>
                <w:szCs w:val="21"/>
              </w:rPr>
              <w:t>A、</w:t>
            </w:r>
            <w:r>
              <w:rPr>
                <w:rFonts w:hint="eastAsia" w:ascii="宋体" w:hAnsi="宋体"/>
                <w:szCs w:val="21"/>
              </w:rPr>
              <w:t xml:space="preserve"> </w:t>
            </w:r>
            <w:r>
              <w:rPr>
                <w:rFonts w:hint="eastAsia" w:ascii="宋体" w:hAnsi="宋体"/>
                <w:b/>
                <w:szCs w:val="21"/>
              </w:rPr>
              <w:t>报价部分</w:t>
            </w:r>
            <w:r>
              <w:rPr>
                <w:rFonts w:hint="eastAsia" w:ascii="宋体" w:hAnsi="宋体"/>
                <w:b/>
                <w:color w:val="000000" w:themeColor="text1"/>
                <w:szCs w:val="21"/>
              </w:rPr>
              <w:t>40</w:t>
            </w:r>
            <w:r>
              <w:rPr>
                <w:rFonts w:hint="eastAsia" w:ascii="宋体" w:hAnsi="宋体"/>
                <w:b/>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10" w:type="dxa"/>
            <w:vAlign w:val="center"/>
          </w:tcPr>
          <w:p>
            <w:pPr>
              <w:widowControl/>
              <w:jc w:val="center"/>
              <w:rPr>
                <w:rFonts w:ascii="宋体" w:hAnsi="宋体"/>
                <w:szCs w:val="21"/>
              </w:rPr>
            </w:pPr>
            <w:r>
              <w:rPr>
                <w:rFonts w:hint="eastAsia" w:ascii="宋体" w:hAnsi="宋体"/>
                <w:szCs w:val="21"/>
              </w:rPr>
              <w:t>1</w:t>
            </w:r>
          </w:p>
        </w:tc>
        <w:tc>
          <w:tcPr>
            <w:tcW w:w="1460" w:type="dxa"/>
            <w:vAlign w:val="center"/>
          </w:tcPr>
          <w:p>
            <w:pPr>
              <w:widowControl/>
              <w:jc w:val="center"/>
              <w:rPr>
                <w:rFonts w:ascii="宋体" w:hAnsi="宋体"/>
                <w:szCs w:val="21"/>
              </w:rPr>
            </w:pPr>
            <w:r>
              <w:rPr>
                <w:rFonts w:hint="eastAsia" w:ascii="宋体" w:hAnsi="宋体"/>
                <w:color w:val="000000"/>
                <w:szCs w:val="21"/>
              </w:rPr>
              <w:t>价格分</w:t>
            </w:r>
          </w:p>
        </w:tc>
        <w:tc>
          <w:tcPr>
            <w:tcW w:w="918" w:type="dxa"/>
            <w:vAlign w:val="center"/>
          </w:tcPr>
          <w:p>
            <w:pPr>
              <w:widowControl/>
              <w:jc w:val="center"/>
              <w:rPr>
                <w:rFonts w:ascii="宋体" w:hAnsi="宋体"/>
                <w:color w:val="000000" w:themeColor="text1"/>
                <w:szCs w:val="21"/>
              </w:rPr>
            </w:pPr>
            <w:r>
              <w:rPr>
                <w:rFonts w:hint="eastAsia" w:ascii="宋体" w:hAnsi="宋体"/>
                <w:color w:val="000000" w:themeColor="text1"/>
                <w:szCs w:val="21"/>
              </w:rPr>
              <w:t>40</w:t>
            </w:r>
          </w:p>
        </w:tc>
        <w:tc>
          <w:tcPr>
            <w:tcW w:w="6574" w:type="dxa"/>
            <w:gridSpan w:val="2"/>
            <w:vAlign w:val="center"/>
          </w:tcPr>
          <w:p>
            <w:pPr>
              <w:autoSpaceDE w:val="0"/>
              <w:autoSpaceDN w:val="0"/>
              <w:adjustRightInd w:val="0"/>
              <w:rPr>
                <w:rFonts w:ascii="宋体" w:hAnsi="宋体"/>
                <w:szCs w:val="21"/>
              </w:rPr>
            </w:pPr>
            <w:r>
              <w:rPr>
                <w:rFonts w:hint="eastAsia" w:ascii="宋体" w:hAnsi="宋体"/>
                <w:color w:val="000000"/>
                <w:szCs w:val="21"/>
              </w:rPr>
              <w:t>价格分</w:t>
            </w:r>
            <w:r>
              <w:rPr>
                <w:rFonts w:hint="eastAsia" w:ascii="宋体" w:hAnsi="宋体"/>
                <w:szCs w:val="21"/>
              </w:rPr>
              <w:t>计算方法：以有效投标报价的平均总价格为评标基准价。</w:t>
            </w:r>
          </w:p>
          <w:p>
            <w:pPr>
              <w:autoSpaceDE w:val="0"/>
              <w:autoSpaceDN w:val="0"/>
              <w:adjustRightInd w:val="0"/>
              <w:rPr>
                <w:rFonts w:ascii="宋体" w:hAnsi="宋体"/>
                <w:szCs w:val="21"/>
              </w:rPr>
            </w:pPr>
            <w:r>
              <w:rPr>
                <w:rFonts w:hint="eastAsia" w:ascii="宋体" w:hAnsi="宋体"/>
                <w:szCs w:val="21"/>
              </w:rPr>
              <w:t>投标报价的总价与评标基准价相比：</w:t>
            </w:r>
          </w:p>
          <w:p>
            <w:pPr>
              <w:autoSpaceDE w:val="0"/>
              <w:autoSpaceDN w:val="0"/>
              <w:adjustRightInd w:val="0"/>
              <w:rPr>
                <w:rFonts w:ascii="宋体" w:hAnsi="宋体"/>
                <w:color w:val="000000"/>
                <w:szCs w:val="21"/>
              </w:rPr>
            </w:pPr>
            <w:r>
              <w:rPr>
                <w:rFonts w:hint="eastAsia" w:ascii="宋体" w:hAnsi="宋体"/>
                <w:color w:val="000000"/>
                <w:szCs w:val="21"/>
              </w:rPr>
              <w:t>每高于评标基准价的</w:t>
            </w:r>
            <w:r>
              <w:rPr>
                <w:rFonts w:ascii="宋体" w:hAnsi="宋体"/>
                <w:color w:val="000000"/>
                <w:szCs w:val="21"/>
              </w:rPr>
              <w:t>1%</w:t>
            </w:r>
            <w:r>
              <w:rPr>
                <w:rFonts w:hint="eastAsia" w:ascii="宋体" w:hAnsi="宋体"/>
                <w:color w:val="000000"/>
                <w:szCs w:val="21"/>
              </w:rPr>
              <w:t>扣2分，扣至40分为止；</w:t>
            </w:r>
          </w:p>
          <w:p>
            <w:pPr>
              <w:autoSpaceDE w:val="0"/>
              <w:autoSpaceDN w:val="0"/>
              <w:adjustRightInd w:val="0"/>
              <w:rPr>
                <w:rFonts w:ascii="宋体" w:hAnsi="宋体"/>
                <w:color w:val="000000"/>
                <w:szCs w:val="21"/>
              </w:rPr>
            </w:pPr>
            <w:r>
              <w:rPr>
                <w:rFonts w:hint="eastAsia" w:ascii="宋体" w:hAnsi="宋体"/>
                <w:color w:val="000000"/>
                <w:szCs w:val="21"/>
              </w:rPr>
              <w:t>每低于评标基准价的</w:t>
            </w:r>
            <w:r>
              <w:rPr>
                <w:rFonts w:ascii="宋体" w:hAnsi="宋体"/>
                <w:color w:val="000000"/>
                <w:szCs w:val="21"/>
              </w:rPr>
              <w:t>1%</w:t>
            </w:r>
            <w:r>
              <w:rPr>
                <w:rFonts w:hint="eastAsia" w:ascii="宋体" w:hAnsi="宋体"/>
                <w:color w:val="000000"/>
                <w:szCs w:val="21"/>
              </w:rPr>
              <w:t>扣1分，扣至40分为止；</w:t>
            </w:r>
          </w:p>
          <w:p>
            <w:pPr>
              <w:widowControl/>
              <w:rPr>
                <w:rFonts w:ascii="宋体" w:hAnsi="宋体"/>
                <w:szCs w:val="21"/>
              </w:rPr>
            </w:pPr>
            <w:r>
              <w:rPr>
                <w:rFonts w:hint="eastAsia" w:ascii="宋体" w:hAnsi="宋体"/>
                <w:color w:val="000000"/>
                <w:szCs w:val="21"/>
              </w:rPr>
              <w:t>四舍五入保留小数点后二位。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662" w:type="dxa"/>
            <w:gridSpan w:val="5"/>
            <w:vAlign w:val="center"/>
          </w:tcPr>
          <w:p>
            <w:pPr>
              <w:widowControl/>
              <w:jc w:val="left"/>
              <w:rPr>
                <w:rFonts w:ascii="宋体" w:hAnsi="宋体"/>
                <w:b/>
                <w:szCs w:val="21"/>
              </w:rPr>
            </w:pPr>
            <w:r>
              <w:rPr>
                <w:rFonts w:hint="eastAsia" w:ascii="宋体" w:hAnsi="宋体"/>
                <w:b/>
                <w:szCs w:val="21"/>
              </w:rPr>
              <w:t>B、 商务部分20分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10" w:type="dxa"/>
            <w:vAlign w:val="center"/>
          </w:tcPr>
          <w:p>
            <w:pPr>
              <w:widowControl/>
              <w:jc w:val="center"/>
              <w:rPr>
                <w:rFonts w:ascii="宋体" w:hAnsi="宋体"/>
                <w:szCs w:val="21"/>
              </w:rPr>
            </w:pPr>
            <w:r>
              <w:rPr>
                <w:rFonts w:hint="eastAsia" w:ascii="宋体" w:hAnsi="宋体"/>
                <w:szCs w:val="21"/>
              </w:rPr>
              <w:t>1</w:t>
            </w:r>
          </w:p>
        </w:tc>
        <w:tc>
          <w:tcPr>
            <w:tcW w:w="1460" w:type="dxa"/>
            <w:vAlign w:val="center"/>
          </w:tcPr>
          <w:p>
            <w:pPr>
              <w:widowControl/>
              <w:jc w:val="center"/>
              <w:rPr>
                <w:rFonts w:ascii="宋体" w:hAnsi="宋体"/>
                <w:color w:val="000000"/>
                <w:szCs w:val="21"/>
              </w:rPr>
            </w:pPr>
            <w:r>
              <w:rPr>
                <w:rFonts w:hint="eastAsia" w:ascii="宋体" w:hAnsi="宋体"/>
                <w:szCs w:val="21"/>
              </w:rPr>
              <w:t>业绩</w:t>
            </w:r>
          </w:p>
        </w:tc>
        <w:tc>
          <w:tcPr>
            <w:tcW w:w="918" w:type="dxa"/>
            <w:vAlign w:val="center"/>
          </w:tcPr>
          <w:p>
            <w:pPr>
              <w:widowControl/>
              <w:jc w:val="center"/>
              <w:rPr>
                <w:rFonts w:ascii="宋体" w:hAnsi="宋体"/>
                <w:color w:val="000000"/>
                <w:szCs w:val="21"/>
              </w:rPr>
            </w:pPr>
            <w:r>
              <w:rPr>
                <w:rFonts w:hint="eastAsia" w:ascii="宋体" w:hAnsi="宋体"/>
                <w:szCs w:val="21"/>
              </w:rPr>
              <w:t>15</w:t>
            </w:r>
          </w:p>
        </w:tc>
        <w:tc>
          <w:tcPr>
            <w:tcW w:w="1177" w:type="dxa"/>
            <w:vAlign w:val="center"/>
          </w:tcPr>
          <w:p>
            <w:pPr>
              <w:widowControl/>
              <w:jc w:val="center"/>
              <w:rPr>
                <w:rFonts w:ascii="宋体" w:hAnsi="宋体"/>
                <w:szCs w:val="21"/>
              </w:rPr>
            </w:pPr>
            <w:r>
              <w:rPr>
                <w:rFonts w:hint="eastAsia"/>
              </w:rPr>
              <w:t>化工石油行业相关</w:t>
            </w:r>
            <w:r>
              <w:rPr>
                <w:rFonts w:ascii="宋体" w:hAnsi="宋体"/>
                <w:szCs w:val="21"/>
              </w:rPr>
              <w:t>业绩</w:t>
            </w:r>
          </w:p>
        </w:tc>
        <w:tc>
          <w:tcPr>
            <w:tcW w:w="5397" w:type="dxa"/>
            <w:vAlign w:val="center"/>
          </w:tcPr>
          <w:p>
            <w:pPr>
              <w:widowControl/>
              <w:jc w:val="left"/>
              <w:rPr>
                <w:rFonts w:ascii="宋体" w:hAnsi="宋体" w:cs="‹ÎSå"/>
                <w:b/>
                <w:color w:val="FF0000"/>
                <w:kern w:val="1"/>
                <w:szCs w:val="21"/>
                <w:highlight w:val="cyan"/>
              </w:rPr>
            </w:pPr>
            <w:r>
              <w:rPr>
                <w:rFonts w:hint="eastAsia"/>
              </w:rPr>
              <w:t>1、与化工石油行业有过合作经历：每提供一项加1分，加至15分为止。</w:t>
            </w:r>
            <w:r>
              <w:rPr>
                <w:rFonts w:hint="eastAsia" w:ascii="宋体" w:hAnsi="宋体"/>
                <w:color w:val="000000"/>
                <w:szCs w:val="21"/>
              </w:rPr>
              <w:t>需提供清晰</w:t>
            </w:r>
            <w:r>
              <w:rPr>
                <w:rFonts w:ascii="宋体" w:hAnsi="宋体"/>
                <w:color w:val="000000"/>
                <w:szCs w:val="21"/>
              </w:rPr>
              <w:t>的</w:t>
            </w:r>
            <w:r>
              <w:rPr>
                <w:rFonts w:hint="eastAsia" w:ascii="宋体" w:hAnsi="宋体"/>
                <w:color w:val="000000"/>
                <w:szCs w:val="21"/>
              </w:rPr>
              <w:t>采购合同首末页等实质性内容，并提供用户联系方式（复印件加盖公章），</w:t>
            </w:r>
            <w:r>
              <w:rPr>
                <w:rFonts w:ascii="宋体" w:hAnsi="宋体"/>
                <w:color w:val="000000"/>
                <w:szCs w:val="21"/>
              </w:rPr>
              <w:t>否则不计分</w:t>
            </w: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10" w:type="dxa"/>
            <w:vMerge w:val="restart"/>
            <w:vAlign w:val="center"/>
          </w:tcPr>
          <w:p>
            <w:pPr>
              <w:widowControl/>
              <w:jc w:val="center"/>
              <w:rPr>
                <w:rFonts w:ascii="宋体" w:hAnsi="宋体"/>
                <w:szCs w:val="21"/>
              </w:rPr>
            </w:pPr>
            <w:r>
              <w:rPr>
                <w:rFonts w:hint="eastAsia" w:ascii="宋体" w:hAnsi="宋体"/>
                <w:szCs w:val="21"/>
              </w:rPr>
              <w:t>2</w:t>
            </w:r>
          </w:p>
        </w:tc>
        <w:tc>
          <w:tcPr>
            <w:tcW w:w="1460" w:type="dxa"/>
            <w:vMerge w:val="restart"/>
            <w:vAlign w:val="center"/>
          </w:tcPr>
          <w:p>
            <w:pPr>
              <w:widowControl/>
              <w:jc w:val="center"/>
            </w:pPr>
          </w:p>
          <w:p>
            <w:pPr>
              <w:widowControl/>
              <w:jc w:val="center"/>
            </w:pPr>
            <w:r>
              <w:rPr>
                <w:rFonts w:hint="eastAsia"/>
              </w:rPr>
              <w:t>服务承诺</w:t>
            </w:r>
            <w:r>
              <w:rPr>
                <w:rFonts w:hint="eastAsia"/>
              </w:rPr>
              <w:br w:type="textWrapping"/>
            </w:r>
            <w:r>
              <w:rPr>
                <w:rFonts w:hint="eastAsia"/>
              </w:rPr>
              <w:t>付款方式</w:t>
            </w:r>
            <w:r>
              <w:rPr>
                <w:rFonts w:hint="eastAsia"/>
              </w:rPr>
              <w:br w:type="textWrapping"/>
            </w:r>
          </w:p>
        </w:tc>
        <w:tc>
          <w:tcPr>
            <w:tcW w:w="918" w:type="dxa"/>
            <w:vMerge w:val="restart"/>
            <w:vAlign w:val="center"/>
          </w:tcPr>
          <w:p>
            <w:pPr>
              <w:widowControl/>
              <w:jc w:val="center"/>
              <w:rPr>
                <w:rFonts w:ascii="宋体" w:hAnsi="宋体"/>
                <w:szCs w:val="21"/>
              </w:rPr>
            </w:pPr>
            <w:r>
              <w:rPr>
                <w:rFonts w:hint="eastAsia" w:ascii="宋体" w:hAnsi="宋体"/>
                <w:szCs w:val="21"/>
              </w:rPr>
              <w:t>5</w:t>
            </w:r>
          </w:p>
        </w:tc>
        <w:tc>
          <w:tcPr>
            <w:tcW w:w="1177" w:type="dxa"/>
            <w:vAlign w:val="center"/>
          </w:tcPr>
          <w:p>
            <w:pPr>
              <w:widowControl/>
              <w:jc w:val="left"/>
              <w:rPr>
                <w:rFonts w:ascii="宋体" w:hAnsi="宋体"/>
                <w:szCs w:val="21"/>
              </w:rPr>
            </w:pPr>
          </w:p>
          <w:p>
            <w:pPr>
              <w:widowControl/>
              <w:jc w:val="left"/>
              <w:rPr>
                <w:rFonts w:ascii="宋体" w:hAnsi="宋体"/>
                <w:szCs w:val="21"/>
              </w:rPr>
            </w:pPr>
          </w:p>
          <w:p>
            <w:pPr>
              <w:widowControl/>
              <w:jc w:val="left"/>
              <w:rPr>
                <w:rFonts w:ascii="宋体" w:hAnsi="宋体"/>
                <w:szCs w:val="21"/>
              </w:rPr>
            </w:pPr>
            <w:r>
              <w:rPr>
                <w:rFonts w:hint="eastAsia" w:ascii="宋体" w:hAnsi="宋体"/>
                <w:szCs w:val="21"/>
              </w:rPr>
              <w:t>服务承诺</w:t>
            </w:r>
          </w:p>
        </w:tc>
        <w:tc>
          <w:tcPr>
            <w:tcW w:w="5397" w:type="dxa"/>
            <w:vAlign w:val="center"/>
          </w:tcPr>
          <w:p>
            <w:pPr>
              <w:spacing w:line="0" w:lineRule="atLeast"/>
              <w:rPr>
                <w:rFonts w:ascii="宋体" w:hAnsi="宋体"/>
                <w:szCs w:val="21"/>
              </w:rPr>
            </w:pPr>
            <w:r>
              <w:rPr>
                <w:rFonts w:hint="eastAsia" w:ascii="宋体" w:hAnsi="宋体"/>
                <w:szCs w:val="21"/>
              </w:rPr>
              <w:t>1、产品出现质量问题卖方承诺8小时内提供解决方案并负责落实,满足加1分，不满足0分。</w:t>
            </w:r>
          </w:p>
          <w:p>
            <w:pPr>
              <w:spacing w:line="0" w:lineRule="atLeast"/>
              <w:rPr>
                <w:rFonts w:ascii="宋体" w:hAnsi="宋体"/>
                <w:szCs w:val="21"/>
              </w:rPr>
            </w:pPr>
            <w:r>
              <w:rPr>
                <w:rFonts w:hint="eastAsia" w:ascii="宋体" w:hAnsi="宋体"/>
                <w:szCs w:val="21"/>
              </w:rPr>
              <w:t>2、卖方承诺质保期超过2年及2年以上，满足加2分，不满足0分。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10" w:type="dxa"/>
            <w:vMerge w:val="continue"/>
            <w:vAlign w:val="center"/>
          </w:tcPr>
          <w:p>
            <w:pPr>
              <w:widowControl/>
              <w:jc w:val="center"/>
              <w:rPr>
                <w:rFonts w:ascii="宋体" w:hAnsi="宋体"/>
                <w:szCs w:val="21"/>
              </w:rPr>
            </w:pPr>
          </w:p>
        </w:tc>
        <w:tc>
          <w:tcPr>
            <w:tcW w:w="1460" w:type="dxa"/>
            <w:vMerge w:val="continue"/>
            <w:vAlign w:val="center"/>
          </w:tcPr>
          <w:p>
            <w:pPr>
              <w:widowControl/>
              <w:jc w:val="left"/>
              <w:rPr>
                <w:rFonts w:ascii="宋体" w:hAnsi="宋体"/>
                <w:color w:val="000000"/>
                <w:szCs w:val="21"/>
              </w:rPr>
            </w:pPr>
          </w:p>
        </w:tc>
        <w:tc>
          <w:tcPr>
            <w:tcW w:w="918" w:type="dxa"/>
            <w:vMerge w:val="continue"/>
            <w:vAlign w:val="center"/>
          </w:tcPr>
          <w:p>
            <w:pPr>
              <w:widowControl/>
              <w:jc w:val="center"/>
              <w:rPr>
                <w:rFonts w:ascii="宋体" w:hAnsi="宋体"/>
                <w:szCs w:val="21"/>
              </w:rPr>
            </w:pPr>
          </w:p>
        </w:tc>
        <w:tc>
          <w:tcPr>
            <w:tcW w:w="1177" w:type="dxa"/>
            <w:vAlign w:val="center"/>
          </w:tcPr>
          <w:p>
            <w:pPr>
              <w:widowControl/>
              <w:jc w:val="left"/>
              <w:rPr>
                <w:rFonts w:ascii="宋体" w:hAnsi="宋体"/>
                <w:szCs w:val="21"/>
              </w:rPr>
            </w:pPr>
            <w:r>
              <w:rPr>
                <w:rFonts w:hint="eastAsia" w:ascii="宋体" w:hAnsi="宋体"/>
                <w:szCs w:val="21"/>
              </w:rPr>
              <w:t>付款方式</w:t>
            </w:r>
          </w:p>
        </w:tc>
        <w:tc>
          <w:tcPr>
            <w:tcW w:w="5397" w:type="dxa"/>
            <w:vAlign w:val="center"/>
          </w:tcPr>
          <w:p>
            <w:pPr>
              <w:widowControl/>
              <w:jc w:val="left"/>
              <w:rPr>
                <w:rFonts w:ascii="宋体" w:hAnsi="宋体"/>
                <w:szCs w:val="21"/>
              </w:rPr>
            </w:pPr>
            <w:r>
              <w:rPr>
                <w:rFonts w:hint="eastAsia" w:ascii="宋体" w:hAnsi="宋体"/>
                <w:szCs w:val="21"/>
              </w:rPr>
              <w:t>付款方式：货物和13%增值税发票到后60日内银行承兑，认可得2分，采用其他付款方式不计分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662" w:type="dxa"/>
            <w:gridSpan w:val="5"/>
            <w:vAlign w:val="center"/>
          </w:tcPr>
          <w:p>
            <w:pPr>
              <w:widowControl/>
              <w:jc w:val="left"/>
              <w:rPr>
                <w:rFonts w:ascii="宋体" w:hAnsi="宋体"/>
                <w:b/>
                <w:szCs w:val="21"/>
              </w:rPr>
            </w:pPr>
            <w:r>
              <w:rPr>
                <w:rFonts w:hint="eastAsia" w:ascii="宋体" w:hAnsi="宋体"/>
                <w:b/>
                <w:szCs w:val="21"/>
              </w:rPr>
              <w:t>C、技术</w:t>
            </w:r>
            <w:r>
              <w:rPr>
                <w:rFonts w:hint="eastAsia" w:ascii="宋体" w:hAnsi="宋体"/>
                <w:szCs w:val="21"/>
              </w:rPr>
              <w:t>（质量）</w:t>
            </w:r>
            <w:r>
              <w:rPr>
                <w:rFonts w:hint="eastAsia" w:ascii="宋体" w:hAnsi="宋体"/>
                <w:b/>
                <w:szCs w:val="21"/>
              </w:rPr>
              <w:t>部分:40分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Align w:val="center"/>
          </w:tcPr>
          <w:p>
            <w:pPr>
              <w:widowControl/>
              <w:jc w:val="center"/>
              <w:rPr>
                <w:rFonts w:ascii="宋体" w:hAnsi="宋体"/>
                <w:szCs w:val="21"/>
              </w:rPr>
            </w:pPr>
            <w:r>
              <w:rPr>
                <w:rFonts w:hint="eastAsia" w:ascii="宋体" w:hAnsi="宋体"/>
                <w:szCs w:val="21"/>
              </w:rPr>
              <w:t>1</w:t>
            </w:r>
          </w:p>
        </w:tc>
        <w:tc>
          <w:tcPr>
            <w:tcW w:w="1460" w:type="dxa"/>
            <w:vAlign w:val="center"/>
          </w:tcPr>
          <w:p>
            <w:pPr>
              <w:widowControl/>
              <w:jc w:val="center"/>
              <w:rPr>
                <w:rFonts w:ascii="宋体" w:hAnsi="宋体"/>
                <w:color w:val="000000"/>
                <w:szCs w:val="21"/>
              </w:rPr>
            </w:pPr>
          </w:p>
        </w:tc>
        <w:tc>
          <w:tcPr>
            <w:tcW w:w="918" w:type="dxa"/>
            <w:vAlign w:val="center"/>
          </w:tcPr>
          <w:p>
            <w:pPr>
              <w:widowControl/>
              <w:jc w:val="center"/>
              <w:rPr>
                <w:rFonts w:ascii="宋体" w:hAnsi="宋体"/>
                <w:color w:val="000000"/>
                <w:szCs w:val="21"/>
              </w:rPr>
            </w:pPr>
            <w:r>
              <w:rPr>
                <w:rFonts w:hint="eastAsia" w:ascii="宋体" w:hAnsi="宋体"/>
                <w:color w:val="000000"/>
                <w:szCs w:val="21"/>
              </w:rPr>
              <w:t>10</w:t>
            </w:r>
          </w:p>
        </w:tc>
        <w:tc>
          <w:tcPr>
            <w:tcW w:w="1177" w:type="dxa"/>
            <w:vAlign w:val="center"/>
          </w:tcPr>
          <w:p>
            <w:pPr>
              <w:widowControl/>
              <w:jc w:val="center"/>
              <w:rPr>
                <w:rFonts w:ascii="宋体" w:hAnsi="宋体"/>
                <w:color w:val="000000"/>
                <w:szCs w:val="21"/>
              </w:rPr>
            </w:pPr>
            <w:r>
              <w:rPr>
                <w:rFonts w:hint="eastAsia" w:ascii="宋体" w:hAnsi="宋体" w:cs="宋体"/>
                <w:szCs w:val="21"/>
              </w:rPr>
              <w:t>面料要求</w:t>
            </w:r>
          </w:p>
        </w:tc>
        <w:tc>
          <w:tcPr>
            <w:tcW w:w="5397" w:type="dxa"/>
            <w:vAlign w:val="center"/>
          </w:tcPr>
          <w:p>
            <w:pPr>
              <w:spacing w:line="0" w:lineRule="atLeast"/>
              <w:rPr>
                <w:rFonts w:ascii="宋体" w:hAnsi="宋体"/>
                <w:szCs w:val="21"/>
              </w:rPr>
            </w:pPr>
            <w:r>
              <w:rPr>
                <w:rFonts w:hint="eastAsia" w:ascii="宋体" w:hAnsi="宋体"/>
                <w:szCs w:val="21"/>
              </w:rPr>
              <w:t>颜色：卡其色</w:t>
            </w:r>
          </w:p>
          <w:p>
            <w:pPr>
              <w:spacing w:line="0" w:lineRule="atLeast"/>
              <w:rPr>
                <w:rFonts w:ascii="宋体" w:hAnsi="宋体"/>
                <w:szCs w:val="21"/>
              </w:rPr>
            </w:pPr>
            <w:r>
              <w:rPr>
                <w:rFonts w:hint="eastAsia" w:ascii="宋体" w:hAnsi="宋体"/>
                <w:szCs w:val="21"/>
              </w:rPr>
              <w:t>面料：CVC网格防静电厚斜纹线卡，大化环纺精梳坯布，士林染色，</w:t>
            </w:r>
          </w:p>
          <w:p>
            <w:pPr>
              <w:spacing w:line="0" w:lineRule="atLeast"/>
              <w:rPr>
                <w:rFonts w:ascii="宋体" w:hAnsi="宋体"/>
                <w:szCs w:val="21"/>
              </w:rPr>
            </w:pPr>
            <w:r>
              <w:rPr>
                <w:rFonts w:hint="eastAsia" w:ascii="宋体" w:hAnsi="宋体"/>
                <w:szCs w:val="21"/>
              </w:rPr>
              <w:t>防静电标准：符合GB12014-2019国家新标准/点对点电阻（Ω）1*10^5—1*10^11。</w:t>
            </w:r>
          </w:p>
          <w:p>
            <w:pPr>
              <w:spacing w:line="0" w:lineRule="atLeast"/>
              <w:rPr>
                <w:rFonts w:ascii="宋体" w:hAnsi="宋体"/>
                <w:szCs w:val="21"/>
              </w:rPr>
            </w:pPr>
            <w:r>
              <w:rPr>
                <w:rFonts w:hint="eastAsia" w:ascii="宋体" w:hAnsi="宋体"/>
                <w:szCs w:val="21"/>
              </w:rPr>
              <w:t>含棉：60%棉  40%涤</w:t>
            </w:r>
          </w:p>
          <w:p>
            <w:pPr>
              <w:spacing w:line="0" w:lineRule="atLeast"/>
              <w:rPr>
                <w:rFonts w:ascii="宋体" w:hAnsi="宋体"/>
                <w:szCs w:val="21"/>
              </w:rPr>
            </w:pPr>
            <w:r>
              <w:rPr>
                <w:rFonts w:hint="eastAsia" w:ascii="宋体" w:hAnsi="宋体"/>
                <w:szCs w:val="21"/>
              </w:rPr>
              <w:t>纱支：32/2*32/2双股</w:t>
            </w:r>
          </w:p>
          <w:p>
            <w:pPr>
              <w:spacing w:line="0" w:lineRule="atLeast"/>
              <w:rPr>
                <w:rFonts w:ascii="宋体" w:hAnsi="宋体"/>
                <w:szCs w:val="21"/>
              </w:rPr>
            </w:pPr>
            <w:r>
              <w:rPr>
                <w:rFonts w:hint="eastAsia" w:ascii="宋体" w:hAnsi="宋体"/>
                <w:szCs w:val="21"/>
              </w:rPr>
              <w:t>密度：100*53精梳</w:t>
            </w:r>
          </w:p>
          <w:p>
            <w:pPr>
              <w:spacing w:line="0" w:lineRule="atLeast"/>
              <w:rPr>
                <w:rFonts w:ascii="宋体" w:hAnsi="宋体"/>
                <w:szCs w:val="21"/>
              </w:rPr>
            </w:pPr>
            <w:r>
              <w:rPr>
                <w:rFonts w:hint="eastAsia" w:ascii="宋体" w:hAnsi="宋体"/>
                <w:szCs w:val="21"/>
              </w:rPr>
              <w:t>里料：正宗210S网格防静电绸</w:t>
            </w:r>
          </w:p>
          <w:p>
            <w:pPr>
              <w:spacing w:line="0" w:lineRule="atLeast"/>
              <w:rPr>
                <w:rFonts w:ascii="宋体" w:hAnsi="宋体" w:cs="宋体"/>
                <w:szCs w:val="21"/>
              </w:rPr>
            </w:pPr>
            <w:r>
              <w:rPr>
                <w:rFonts w:hint="eastAsia" w:ascii="宋体" w:hAnsi="宋体" w:cs="宋体"/>
                <w:szCs w:val="21"/>
              </w:rPr>
              <w:t>拉链：YKK拉链</w:t>
            </w:r>
          </w:p>
          <w:p>
            <w:pPr>
              <w:widowControl/>
              <w:jc w:val="left"/>
              <w:rPr>
                <w:rFonts w:ascii="宋体" w:hAnsi="宋体"/>
                <w:szCs w:val="21"/>
              </w:rPr>
            </w:pPr>
            <w:r>
              <w:rPr>
                <w:rFonts w:hint="eastAsia" w:ascii="宋体" w:hAnsi="宋体"/>
                <w:szCs w:val="21"/>
              </w:rPr>
              <w:t>全部符合要求得10分；每出现1项不符合扣2分，扣完为止。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Align w:val="center"/>
          </w:tcPr>
          <w:p>
            <w:pPr>
              <w:widowControl/>
              <w:jc w:val="center"/>
              <w:rPr>
                <w:rFonts w:ascii="宋体" w:hAnsi="宋体"/>
                <w:szCs w:val="21"/>
              </w:rPr>
            </w:pPr>
            <w:r>
              <w:rPr>
                <w:rFonts w:hint="eastAsia" w:ascii="宋体" w:hAnsi="宋体"/>
                <w:szCs w:val="21"/>
              </w:rPr>
              <w:t>2</w:t>
            </w:r>
          </w:p>
        </w:tc>
        <w:tc>
          <w:tcPr>
            <w:tcW w:w="1460" w:type="dxa"/>
            <w:vAlign w:val="center"/>
          </w:tcPr>
          <w:p>
            <w:pPr>
              <w:widowControl/>
              <w:jc w:val="center"/>
              <w:rPr>
                <w:rFonts w:ascii="宋体" w:hAnsi="宋体"/>
                <w:szCs w:val="21"/>
              </w:rPr>
            </w:pPr>
          </w:p>
        </w:tc>
        <w:tc>
          <w:tcPr>
            <w:tcW w:w="918" w:type="dxa"/>
            <w:vAlign w:val="center"/>
          </w:tcPr>
          <w:p>
            <w:pPr>
              <w:widowControl/>
              <w:jc w:val="center"/>
              <w:rPr>
                <w:rFonts w:ascii="宋体" w:hAnsi="宋体"/>
                <w:color w:val="000000"/>
                <w:szCs w:val="21"/>
              </w:rPr>
            </w:pPr>
            <w:r>
              <w:rPr>
                <w:rFonts w:hint="eastAsia" w:ascii="宋体" w:hAnsi="宋体"/>
                <w:color w:val="000000"/>
                <w:szCs w:val="21"/>
              </w:rPr>
              <w:t>10</w:t>
            </w:r>
          </w:p>
        </w:tc>
        <w:tc>
          <w:tcPr>
            <w:tcW w:w="1177" w:type="dxa"/>
            <w:vAlign w:val="center"/>
          </w:tcPr>
          <w:p>
            <w:pPr>
              <w:widowControl/>
              <w:jc w:val="center"/>
              <w:rPr>
                <w:rFonts w:ascii="宋体" w:hAnsi="宋体"/>
                <w:szCs w:val="21"/>
              </w:rPr>
            </w:pPr>
            <w:r>
              <w:rPr>
                <w:rFonts w:hint="eastAsia" w:ascii="宋体" w:hAnsi="宋体"/>
                <w:szCs w:val="21"/>
              </w:rPr>
              <w:t>制作工艺</w:t>
            </w:r>
          </w:p>
        </w:tc>
        <w:tc>
          <w:tcPr>
            <w:tcW w:w="5397" w:type="dxa"/>
            <w:vAlign w:val="center"/>
          </w:tcPr>
          <w:p>
            <w:pPr>
              <w:spacing w:line="0" w:lineRule="atLeast"/>
              <w:rPr>
                <w:rFonts w:ascii="宋体" w:hAnsi="宋体"/>
                <w:szCs w:val="21"/>
              </w:rPr>
            </w:pPr>
            <w:r>
              <w:rPr>
                <w:rFonts w:hint="eastAsia" w:ascii="宋体" w:hAnsi="宋体"/>
                <w:szCs w:val="21"/>
              </w:rPr>
              <w:t>1、与样布差异，颜色均匀度。优秀得4~5分，良好得2~3分，一般得1分，差异太大不得分。</w:t>
            </w:r>
          </w:p>
          <w:p>
            <w:pPr>
              <w:spacing w:line="0" w:lineRule="atLeast"/>
              <w:rPr>
                <w:rFonts w:ascii="宋体" w:hAnsi="宋体"/>
                <w:szCs w:val="21"/>
              </w:rPr>
            </w:pPr>
            <w:r>
              <w:rPr>
                <w:rFonts w:hint="eastAsia" w:ascii="宋体" w:hAnsi="宋体"/>
                <w:szCs w:val="21"/>
              </w:rPr>
              <w:t>2、外观协调性、制作工艺、缝制细节等；优秀得4~5分，良好得2~3分，一般得1分。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Align w:val="center"/>
          </w:tcPr>
          <w:p>
            <w:pPr>
              <w:widowControl/>
              <w:jc w:val="center"/>
              <w:rPr>
                <w:rFonts w:ascii="宋体" w:hAnsi="宋体"/>
                <w:szCs w:val="21"/>
              </w:rPr>
            </w:pPr>
            <w:r>
              <w:rPr>
                <w:rFonts w:hint="eastAsia" w:ascii="宋体" w:hAnsi="宋体"/>
                <w:szCs w:val="21"/>
              </w:rPr>
              <w:t>3</w:t>
            </w:r>
          </w:p>
        </w:tc>
        <w:tc>
          <w:tcPr>
            <w:tcW w:w="1460" w:type="dxa"/>
            <w:vAlign w:val="center"/>
          </w:tcPr>
          <w:p>
            <w:pPr>
              <w:widowControl/>
              <w:jc w:val="center"/>
              <w:rPr>
                <w:rFonts w:ascii="宋体" w:hAnsi="宋体"/>
                <w:szCs w:val="21"/>
              </w:rPr>
            </w:pPr>
          </w:p>
        </w:tc>
        <w:tc>
          <w:tcPr>
            <w:tcW w:w="918" w:type="dxa"/>
            <w:vAlign w:val="center"/>
          </w:tcPr>
          <w:p>
            <w:pPr>
              <w:widowControl/>
              <w:jc w:val="center"/>
              <w:rPr>
                <w:rFonts w:ascii="宋体" w:hAnsi="宋体"/>
                <w:color w:val="000000"/>
                <w:szCs w:val="21"/>
              </w:rPr>
            </w:pPr>
            <w:r>
              <w:rPr>
                <w:rFonts w:hint="eastAsia" w:ascii="宋体" w:hAnsi="宋体"/>
                <w:color w:val="000000"/>
                <w:szCs w:val="21"/>
              </w:rPr>
              <w:t>10</w:t>
            </w:r>
          </w:p>
        </w:tc>
        <w:tc>
          <w:tcPr>
            <w:tcW w:w="1177" w:type="dxa"/>
            <w:vAlign w:val="center"/>
          </w:tcPr>
          <w:p>
            <w:pPr>
              <w:widowControl/>
              <w:jc w:val="center"/>
              <w:rPr>
                <w:rFonts w:ascii="宋体" w:hAnsi="宋体"/>
                <w:szCs w:val="21"/>
              </w:rPr>
            </w:pPr>
            <w:r>
              <w:rPr>
                <w:rFonts w:hint="eastAsia" w:ascii="宋体" w:hAnsi="宋体"/>
                <w:szCs w:val="21"/>
              </w:rPr>
              <w:t>资质证书</w:t>
            </w:r>
          </w:p>
        </w:tc>
        <w:tc>
          <w:tcPr>
            <w:tcW w:w="5397" w:type="dxa"/>
            <w:vAlign w:val="center"/>
          </w:tcPr>
          <w:p>
            <w:pPr>
              <w:spacing w:line="0" w:lineRule="atLeast"/>
              <w:rPr>
                <w:rFonts w:ascii="宋体" w:hAnsi="宋体"/>
                <w:szCs w:val="21"/>
              </w:rPr>
            </w:pPr>
            <w:r>
              <w:rPr>
                <w:rFonts w:hint="eastAsia" w:ascii="宋体" w:hAnsi="宋体"/>
                <w:szCs w:val="21"/>
              </w:rPr>
              <w:t>特种劳动防护用品安全标志证书、质量管理、环境、职业健康与安全管理体系认证证书，售后服务五星认证证书，售后服务成熟度七星级认证证书 ，AAA 级信用等级证书，AAA 级质量服务诚信单位，绿色工厂评价认证证书，AAA资信等级证书。每提供一个得1分。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Align w:val="center"/>
          </w:tcPr>
          <w:p>
            <w:pPr>
              <w:widowControl/>
              <w:jc w:val="center"/>
              <w:rPr>
                <w:rFonts w:ascii="宋体" w:hAnsi="宋体"/>
                <w:szCs w:val="21"/>
              </w:rPr>
            </w:pPr>
            <w:r>
              <w:rPr>
                <w:rFonts w:hint="eastAsia" w:ascii="宋体" w:hAnsi="宋体"/>
                <w:szCs w:val="21"/>
              </w:rPr>
              <w:t>4</w:t>
            </w:r>
          </w:p>
        </w:tc>
        <w:tc>
          <w:tcPr>
            <w:tcW w:w="1460" w:type="dxa"/>
            <w:vAlign w:val="center"/>
          </w:tcPr>
          <w:p>
            <w:pPr>
              <w:widowControl/>
              <w:jc w:val="center"/>
              <w:rPr>
                <w:rFonts w:ascii="宋体" w:hAnsi="宋体"/>
                <w:szCs w:val="21"/>
              </w:rPr>
            </w:pPr>
          </w:p>
        </w:tc>
        <w:tc>
          <w:tcPr>
            <w:tcW w:w="918" w:type="dxa"/>
            <w:vAlign w:val="center"/>
          </w:tcPr>
          <w:p>
            <w:pPr>
              <w:widowControl/>
              <w:jc w:val="center"/>
              <w:rPr>
                <w:rFonts w:ascii="宋体" w:hAnsi="宋体"/>
                <w:color w:val="000000"/>
                <w:szCs w:val="21"/>
              </w:rPr>
            </w:pPr>
            <w:r>
              <w:rPr>
                <w:rFonts w:hint="eastAsia" w:ascii="宋体" w:hAnsi="宋体"/>
                <w:color w:val="000000"/>
                <w:szCs w:val="21"/>
              </w:rPr>
              <w:t>10</w:t>
            </w:r>
          </w:p>
        </w:tc>
        <w:tc>
          <w:tcPr>
            <w:tcW w:w="1177" w:type="dxa"/>
            <w:vAlign w:val="center"/>
          </w:tcPr>
          <w:p>
            <w:pPr>
              <w:widowControl/>
              <w:jc w:val="left"/>
              <w:rPr>
                <w:rFonts w:ascii="宋体" w:hAnsi="宋体" w:cs="宋体"/>
                <w:szCs w:val="21"/>
              </w:rPr>
            </w:pPr>
            <w:r>
              <w:rPr>
                <w:rFonts w:hint="eastAsia" w:ascii="宋体" w:hAnsi="宋体" w:cs="宋体"/>
                <w:szCs w:val="21"/>
              </w:rPr>
              <w:t>综合实力</w:t>
            </w:r>
          </w:p>
        </w:tc>
        <w:tc>
          <w:tcPr>
            <w:tcW w:w="5397" w:type="dxa"/>
            <w:vAlign w:val="center"/>
          </w:tcPr>
          <w:p>
            <w:pPr>
              <w:spacing w:line="0" w:lineRule="atLeast"/>
              <w:rPr>
                <w:rFonts w:ascii="宋体" w:hAnsi="宋体"/>
                <w:szCs w:val="21"/>
              </w:rPr>
            </w:pPr>
            <w:r>
              <w:rPr>
                <w:rFonts w:hint="eastAsia" w:ascii="宋体" w:hAnsi="宋体"/>
                <w:szCs w:val="21"/>
              </w:rPr>
              <w:t>1.注册资金1000万以下不得分，1000万-5000万得1分，5000万以上得2分。</w:t>
            </w:r>
          </w:p>
          <w:p>
            <w:pPr>
              <w:spacing w:line="0" w:lineRule="atLeast"/>
              <w:rPr>
                <w:rFonts w:ascii="宋体" w:hAnsi="宋体"/>
                <w:szCs w:val="21"/>
              </w:rPr>
            </w:pPr>
            <w:r>
              <w:rPr>
                <w:rFonts w:hint="eastAsia" w:ascii="宋体" w:hAnsi="宋体"/>
                <w:szCs w:val="21"/>
              </w:rPr>
              <w:t>2.企业员工300人以下不得分，300-500人的1分，500人以上的2分。</w:t>
            </w:r>
          </w:p>
          <w:p>
            <w:pPr>
              <w:spacing w:line="0" w:lineRule="atLeast"/>
              <w:rPr>
                <w:rFonts w:ascii="宋体" w:hAnsi="宋体"/>
                <w:szCs w:val="21"/>
              </w:rPr>
            </w:pPr>
            <w:r>
              <w:rPr>
                <w:rFonts w:hint="eastAsia" w:ascii="宋体" w:hAnsi="宋体"/>
                <w:szCs w:val="21"/>
              </w:rPr>
              <w:t>3.2022年财务报表中营业收入(以年度审报为准)进行排名。 第一名得3分，第二名得2分，第三名得1分,其余不得分。</w:t>
            </w:r>
          </w:p>
          <w:p>
            <w:pPr>
              <w:spacing w:line="0" w:lineRule="atLeast"/>
              <w:rPr>
                <w:rFonts w:ascii="宋体" w:hAnsi="宋体"/>
                <w:szCs w:val="21"/>
              </w:rPr>
            </w:pPr>
            <w:r>
              <w:rPr>
                <w:rFonts w:hint="eastAsia" w:ascii="宋体" w:hAnsi="宋体"/>
                <w:szCs w:val="21"/>
              </w:rPr>
              <w:t>4.2022年12月财务报表中固定资产净值(以年度审报为准) 进行排名。第一名得3分，第二名得2分，第三名得1分,其余不得分。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170" w:type="dxa"/>
            <w:gridSpan w:val="2"/>
            <w:vAlign w:val="center"/>
          </w:tcPr>
          <w:p>
            <w:pPr>
              <w:widowControl/>
              <w:jc w:val="center"/>
              <w:rPr>
                <w:rFonts w:ascii="宋体" w:hAnsi="宋体"/>
                <w:szCs w:val="21"/>
              </w:rPr>
            </w:pPr>
            <w:r>
              <w:rPr>
                <w:rFonts w:hint="eastAsia" w:ascii="宋体" w:hAnsi="宋体"/>
                <w:szCs w:val="21"/>
              </w:rPr>
              <w:t>合计</w:t>
            </w:r>
          </w:p>
        </w:tc>
        <w:tc>
          <w:tcPr>
            <w:tcW w:w="7492" w:type="dxa"/>
            <w:gridSpan w:val="3"/>
            <w:vAlign w:val="center"/>
          </w:tcPr>
          <w:p>
            <w:pPr>
              <w:widowControl/>
              <w:jc w:val="center"/>
              <w:rPr>
                <w:rFonts w:ascii="宋体" w:hAnsi="宋体"/>
                <w:szCs w:val="21"/>
              </w:rPr>
            </w:pPr>
            <w:r>
              <w:rPr>
                <w:rFonts w:hint="eastAsia" w:ascii="宋体" w:hAnsi="宋体"/>
                <w:szCs w:val="21"/>
              </w:rPr>
              <w:t>100分</w:t>
            </w:r>
          </w:p>
        </w:tc>
      </w:tr>
    </w:tbl>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2.通用</w:t>
      </w:r>
    </w:p>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（1）在能够满足招标人技术要求及供货期要求的投标人中选择总投标价最低的一家投标人作为中标候选人。</w:t>
      </w:r>
    </w:p>
    <w:p>
      <w:pPr>
        <w:spacing w:line="360" w:lineRule="auto"/>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（2）同等价格下，质量指标、售后服务更好的为中标候选人。</w:t>
      </w:r>
    </w:p>
    <w:p>
      <w:pPr>
        <w:spacing w:line="360" w:lineRule="auto"/>
        <w:ind w:firstLine="640" w:firstLineChars="200"/>
        <w:jc w:val="left"/>
        <w:rPr>
          <w:rFonts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（3）</w:t>
      </w:r>
      <w:r>
        <w:rPr>
          <w:rFonts w:hint="eastAsia" w:ascii="方正仿宋简体" w:hAnsi="方正仿宋简体" w:eastAsia="方正仿宋简体" w:cs="方正仿宋简体"/>
          <w:bCs/>
          <w:kern w:val="1"/>
          <w:sz w:val="30"/>
          <w:szCs w:val="30"/>
        </w:rPr>
        <w:t>同等价格、同等质量下，现有供应方为中标候选人。</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废标</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1.招标人如发现招标过程中有串标、陪标等扰乱招标人经营秩序的恶劣情况，经招标人评标小组评定可作废标处理，并可将相关投标方列入供应商负面清单，一年内不再接受参与投标工作。</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楷体_GBK" w:cs="方正仿宋简体"/>
          <w:bCs/>
          <w:kern w:val="1"/>
          <w:sz w:val="32"/>
          <w:szCs w:val="32"/>
        </w:rPr>
        <w:t>2.</w:t>
      </w:r>
      <w:r>
        <w:rPr>
          <w:rFonts w:hint="eastAsia" w:ascii="方正仿宋简体" w:hAnsi="方正仿宋简体" w:eastAsia="方正仿宋简体" w:cs="方正仿宋简体"/>
          <w:bCs/>
          <w:kern w:val="1"/>
          <w:sz w:val="32"/>
          <w:szCs w:val="32"/>
        </w:rPr>
        <w:t>凡投标人不具备</w:t>
      </w:r>
      <w:r>
        <w:rPr>
          <w:rFonts w:hint="eastAsia" w:ascii="方正仿宋简体" w:hAnsi="方正仿宋简体" w:eastAsia="方正仿宋简体" w:cs="方正仿宋简体"/>
          <w:bCs/>
          <w:color w:val="FF0000"/>
          <w:kern w:val="1"/>
          <w:sz w:val="32"/>
          <w:szCs w:val="32"/>
        </w:rPr>
        <w:t>招标人明确要求资质的</w:t>
      </w:r>
      <w:r>
        <w:rPr>
          <w:rFonts w:hint="eastAsia" w:ascii="方正仿宋简体" w:hAnsi="方正仿宋简体" w:eastAsia="方正仿宋简体" w:cs="方正仿宋简体"/>
          <w:bCs/>
          <w:kern w:val="1"/>
          <w:sz w:val="32"/>
          <w:szCs w:val="32"/>
        </w:rPr>
        <w:t>，或投标文件填写不完整、报价有空项的，或不符合技术要求条款的，或者存在其他不符合招标人有关要求的问题，经招标人评标小组评定，可作废标处理。</w:t>
      </w:r>
    </w:p>
    <w:p>
      <w:pPr>
        <w:pStyle w:val="5"/>
        <w:spacing w:line="600" w:lineRule="exact"/>
        <w:ind w:firstLine="643" w:firstLineChars="200"/>
        <w:rPr>
          <w:rFonts w:ascii="方正仿宋简体" w:hAnsi="方正仿宋简体" w:eastAsia="方正仿宋简体" w:cs="方正仿宋简体"/>
          <w:bCs/>
          <w:color w:val="FF0000"/>
          <w:kern w:val="1"/>
          <w:sz w:val="32"/>
          <w:szCs w:val="32"/>
          <w:highlight w:val="green"/>
        </w:rPr>
      </w:pPr>
      <w:r>
        <w:rPr>
          <w:rFonts w:hint="eastAsia" w:ascii="方正黑体_GBK" w:hAnsi="方正黑体_GBK" w:eastAsia="方正黑体_GBK" w:cs="方正黑体_GBK"/>
          <w:b/>
          <w:kern w:val="1"/>
          <w:sz w:val="32"/>
          <w:szCs w:val="32"/>
        </w:rPr>
        <w:t xml:space="preserve"> 六、其他注意事项：</w:t>
      </w:r>
      <w:r>
        <w:rPr>
          <w:rFonts w:ascii="方正仿宋简体" w:hAnsi="方正仿宋简体" w:eastAsia="方正仿宋简体" w:cs="方正仿宋简体"/>
          <w:bCs/>
          <w:color w:val="FF0000"/>
          <w:kern w:val="1"/>
          <w:sz w:val="32"/>
          <w:szCs w:val="32"/>
        </w:rPr>
        <w:t xml:space="preserve"> </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违约责任：</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w:t>
      </w:r>
      <w:r>
        <w:rPr>
          <w:rFonts w:hint="eastAsia" w:ascii="方正仿宋简体" w:hAnsi="方正仿宋简体" w:eastAsia="方正仿宋简体" w:cs="方正仿宋简体"/>
          <w:bCs/>
          <w:kern w:val="1"/>
          <w:sz w:val="30"/>
          <w:szCs w:val="30"/>
        </w:rPr>
        <w:t>如甲方没有按照规定的时间交货或提供服务，甲方将支付违约金，违约金应从货款中扣除，迟交货物或未提供服务的违约金逾期每日应按合同总金额的1%计收。但迟交货物或未提供服务超过20日，乙方有权解除合同,要求甲方五个工作日内返还乙方合同货款并按合同总额20%追究甲方违约责任</w:t>
      </w:r>
      <w:r>
        <w:rPr>
          <w:rFonts w:hint="eastAsia" w:ascii="方正仿宋简体" w:hAnsi="方正仿宋简体" w:eastAsia="方正仿宋简体" w:cs="方正仿宋简体"/>
          <w:bCs/>
          <w:kern w:val="1"/>
          <w:sz w:val="32"/>
          <w:szCs w:val="32"/>
        </w:rPr>
        <w:t>。</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2.甲方交货后，如果货物经检验不合格的，乙方可选择以下处理方式：</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乙方选择换货的，换货所产生的费用由甲方承担。经乙方同意甲方换货的，需在乙方第一次验收不合格之日起30日内供货，逾期供货的，违约责任参照第1款执行。如果出现两次经检验不合格的情况，乙方有权解除合同，甲方需在检验不合格之日起五个工作日内返还乙方合同货款，并赔偿合同总货款的20%违约金给乙方，乙方在甲方返还货款之前，有权质押货物，质押期间如产生仓储费，该仓储费由甲方承担。</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乙方选择解除合同的，退货所产生的费用由甲方承担。甲方需在检验不合格之日起五个工作日内返还乙方合同货款，并赔偿合同总货款的20%违约金给乙方，乙方在甲方返还货款之前，有权质押货物，质押期间如产生仓储费，仓储费由甲方承担。</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3.因甲方的产品质量、逾期交货等原因给乙方造成直接和间接经济损失的，由甲方承担。</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中标人应严格按照标书约定与招标方签定供需合同，并按合同约定做好物资供应和服务工作。对中标人所有违背标书及合同约定的行为，招标人均可持续保留与中标方中止合作的一切权利。　</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对需检验的品种，经招标人检验部门检验合格后方能收货，否则做退、换货处理；长期合约的中标人如出现三次产品质量不合格的情况，视为中标人无能力保障产品质量，招标人有权终止此次招标合同的执行。</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（四）</w:t>
      </w:r>
      <w:r>
        <w:rPr>
          <w:rFonts w:hint="eastAsia" w:ascii="方正仿宋简体" w:hAnsi="方正仿宋简体" w:eastAsia="方正仿宋简体" w:cs="方正仿宋简体"/>
          <w:bCs/>
          <w:kern w:val="1"/>
          <w:sz w:val="32"/>
          <w:szCs w:val="32"/>
        </w:rPr>
        <w:t>对不合格货品招标人应及时通知中标人，如有异议双方可协商解决；如需仲裁，应按合同约定在规定时间内按《产品质量仲裁检验和产品质量鉴定管理办法》执行。仲裁期间中标人应保证招标人供应，不影响招标人正常生产运行。</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（五）</w:t>
      </w:r>
      <w:r>
        <w:rPr>
          <w:rFonts w:hint="eastAsia" w:ascii="方正仿宋简体" w:hAnsi="方正仿宋简体" w:eastAsia="方正仿宋简体" w:cs="方正仿宋简体"/>
          <w:bCs/>
          <w:kern w:val="1"/>
          <w:sz w:val="32"/>
          <w:szCs w:val="32"/>
        </w:rPr>
        <w:t>如因投标人不能正常履约，对招标人生产经营活动造成影响的，招标人可向阿里巴巴公司投诉；如严重影响招标人生产经营活动的，招标人将依法追究投标方法律责任。</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（六）</w:t>
      </w:r>
      <w:r>
        <w:rPr>
          <w:rFonts w:hint="eastAsia" w:ascii="方正仿宋简体" w:hAnsi="方正仿宋简体" w:eastAsia="方正仿宋简体" w:cs="方正仿宋简体"/>
          <w:bCs/>
          <w:kern w:val="1"/>
          <w:sz w:val="32"/>
          <w:szCs w:val="32"/>
        </w:rPr>
        <w:t>投标人在中标后无正当理由不与招标人签订合同的，将承担违约责任，列入招标人供应商负面清单；若为阿里巴巴平台投标，同时招标人将向阿里巴巴进行投诉。</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（七）</w:t>
      </w:r>
      <w:r>
        <w:rPr>
          <w:rFonts w:hint="eastAsia" w:ascii="方正仿宋简体" w:hAnsi="方正仿宋简体" w:eastAsia="方正仿宋简体" w:cs="方正仿宋简体"/>
          <w:bCs/>
          <w:kern w:val="1"/>
          <w:sz w:val="32"/>
          <w:szCs w:val="32"/>
        </w:rPr>
        <w:t>投标人应详细阅读本招标书，参与报价投标即视为对本招标书所列之条款均表示接受。</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（八）</w:t>
      </w:r>
      <w:r>
        <w:rPr>
          <w:rFonts w:hint="eastAsia" w:ascii="方正仿宋简体" w:hAnsi="方正仿宋简体" w:eastAsia="方正仿宋简体" w:cs="方正仿宋简体"/>
          <w:bCs/>
          <w:kern w:val="1"/>
          <w:sz w:val="32"/>
          <w:szCs w:val="32"/>
        </w:rPr>
        <w:t>招标人对违反约定的投标人或中标人将按《镇江海纳川物流产业发展有限责任公司招标采购管理规定》中供应商管理对投标人进行管理考核（详见附件1）。</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bCs/>
          <w:kern w:val="1"/>
          <w:sz w:val="32"/>
          <w:szCs w:val="32"/>
        </w:rPr>
        <w:t>（九）</w:t>
      </w:r>
      <w:r>
        <w:rPr>
          <w:rFonts w:hint="eastAsia" w:ascii="方正仿宋简体" w:hAnsi="方正仿宋简体" w:eastAsia="方正仿宋简体" w:cs="方正仿宋简体"/>
          <w:bCs/>
          <w:kern w:val="1"/>
          <w:sz w:val="32"/>
          <w:szCs w:val="32"/>
        </w:rPr>
        <w:t>外协作业人员需先进行安全教育培训。</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（十）</w:t>
      </w:r>
      <w:r>
        <w:rPr>
          <w:rFonts w:hint="eastAsia" w:ascii="方正仿宋简体" w:hAnsi="方正仿宋简体" w:eastAsia="方正仿宋简体" w:cs="方正仿宋简体"/>
          <w:bCs/>
          <w:kern w:val="1"/>
          <w:sz w:val="32"/>
          <w:szCs w:val="32"/>
        </w:rPr>
        <w:t>本次招标为企业自主公开招标，属生产经营性商务行为，解释权归镇江海纳川物流产业发展有限责任公司所有。</w:t>
      </w: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p>
    <w:p>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p>
    <w:p>
      <w:pPr>
        <w:pStyle w:val="2"/>
        <w:rPr>
          <w:rFonts w:ascii="方正小标宋简体" w:hAnsi="方正小标宋简体" w:eastAsia="方正小标宋简体" w:cs="方正小标宋简体"/>
          <w:szCs w:val="44"/>
        </w:rPr>
      </w:pPr>
      <w:r>
        <w:rPr>
          <w:rFonts w:hint="eastAsia" w:ascii="方正小标宋简体" w:hAnsi="方正小标宋简体" w:eastAsia="方正小标宋简体" w:cs="方正小标宋简体"/>
          <w:szCs w:val="44"/>
        </w:rPr>
        <w:t>报价函</w:t>
      </w:r>
    </w:p>
    <w:p>
      <w:pPr>
        <w:tabs>
          <w:tab w:val="left" w:pos="180"/>
        </w:tabs>
        <w:spacing w:line="600" w:lineRule="exac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镇江海纳川物流产业发展有限责任公司：</w:t>
      </w:r>
    </w:p>
    <w:p>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投标单位全称：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；授权全权代表姓名、职务、职称：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为全权代表，参加贵方组织的招标有关活动，并对该项目进行投标。</w:t>
      </w:r>
    </w:p>
    <w:p>
      <w:pPr>
        <w:spacing w:line="600" w:lineRule="exact"/>
        <w:ind w:firstLine="640" w:firstLineChars="200"/>
        <w:jc w:val="left"/>
        <w:rPr>
          <w:rFonts w:ascii="方正仿宋简体" w:hAnsi="方正仿宋简体" w:eastAsia="方正仿宋简体" w:cs="方正仿宋简体"/>
          <w:color w:val="FF0000"/>
          <w:kern w:val="1"/>
          <w:sz w:val="32"/>
          <w:szCs w:val="32"/>
        </w:rPr>
      </w:pPr>
      <w:r>
        <w:rPr>
          <w:rFonts w:hint="eastAsia" w:ascii="方正仿宋简体" w:hAnsi="方正仿宋简体" w:eastAsia="方正仿宋简体" w:cs="方正仿宋简体"/>
          <w:sz w:val="32"/>
          <w:szCs w:val="32"/>
        </w:rPr>
        <w:t>一.</w:t>
      </w:r>
      <w:r>
        <w:rPr>
          <w:rFonts w:hint="eastAsia" w:ascii="方正仿宋简体" w:hAnsi="方正仿宋简体" w:eastAsia="方正仿宋简体" w:cs="方正仿宋简体"/>
          <w:kern w:val="1"/>
          <w:sz w:val="32"/>
          <w:szCs w:val="32"/>
        </w:rPr>
        <w:t>投标项目的总投标价（含税）为</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(大写)：</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元人民币；税率</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二.报价格式</w:t>
      </w:r>
    </w:p>
    <w:p>
      <w:pPr>
        <w:spacing w:line="600" w:lineRule="exact"/>
        <w:ind w:firstLine="643" w:firstLineChars="200"/>
        <w:jc w:val="center"/>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镇江海纳川物流产业发展有限责任公司</w:t>
      </w:r>
    </w:p>
    <w:tbl>
      <w:tblPr>
        <w:tblStyle w:val="12"/>
        <w:tblW w:w="5679" w:type="pct"/>
        <w:tblInd w:w="-6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gridCol w:w="1560"/>
        <w:gridCol w:w="567"/>
        <w:gridCol w:w="3543"/>
        <w:gridCol w:w="567"/>
        <w:gridCol w:w="567"/>
        <w:gridCol w:w="993"/>
        <w:gridCol w:w="993"/>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7"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序号</w:t>
            </w:r>
          </w:p>
        </w:tc>
        <w:tc>
          <w:tcPr>
            <w:tcW w:w="806"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标的名称</w:t>
            </w:r>
          </w:p>
        </w:tc>
        <w:tc>
          <w:tcPr>
            <w:tcW w:w="29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型号</w:t>
            </w:r>
          </w:p>
        </w:tc>
        <w:tc>
          <w:tcPr>
            <w:tcW w:w="1830"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规格</w:t>
            </w:r>
          </w:p>
        </w:tc>
        <w:tc>
          <w:tcPr>
            <w:tcW w:w="29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单位</w:t>
            </w:r>
          </w:p>
        </w:tc>
        <w:tc>
          <w:tcPr>
            <w:tcW w:w="29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数量</w:t>
            </w:r>
          </w:p>
        </w:tc>
        <w:tc>
          <w:tcPr>
            <w:tcW w:w="51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单价  （含税）</w:t>
            </w:r>
          </w:p>
        </w:tc>
        <w:tc>
          <w:tcPr>
            <w:tcW w:w="51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总价   （含税）</w:t>
            </w:r>
          </w:p>
        </w:tc>
        <w:tc>
          <w:tcPr>
            <w:tcW w:w="292"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7" w:type="pct"/>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806" w:type="pct"/>
            <w:vAlign w:val="center"/>
          </w:tcPr>
          <w:p>
            <w:pPr>
              <w:jc w:val="center"/>
              <w:rPr>
                <w:rFonts w:ascii="宋体" w:hAnsi="宋体" w:cs="宋体"/>
                <w:szCs w:val="21"/>
              </w:rPr>
            </w:pPr>
            <w:r>
              <w:rPr>
                <w:rFonts w:hint="eastAsia" w:ascii="宋体" w:hAnsi="宋体" w:cs="宋体"/>
                <w:szCs w:val="21"/>
              </w:rPr>
              <w:t>春秋装工作服</w:t>
            </w:r>
          </w:p>
        </w:tc>
        <w:tc>
          <w:tcPr>
            <w:tcW w:w="293" w:type="pct"/>
          </w:tcPr>
          <w:p>
            <w:pPr>
              <w:rPr>
                <w:rFonts w:ascii="宋体" w:hAnsi="宋体" w:cs="宋体"/>
                <w:sz w:val="28"/>
                <w:szCs w:val="36"/>
              </w:rPr>
            </w:pPr>
          </w:p>
        </w:tc>
        <w:tc>
          <w:tcPr>
            <w:tcW w:w="1830" w:type="pct"/>
            <w:vAlign w:val="center"/>
          </w:tcPr>
          <w:p>
            <w:pPr>
              <w:spacing w:line="0" w:lineRule="atLeast"/>
              <w:rPr>
                <w:rFonts w:ascii="宋体" w:hAnsi="宋体" w:cs="宋体"/>
                <w:szCs w:val="21"/>
              </w:rPr>
            </w:pPr>
            <w:r>
              <w:rPr>
                <w:rFonts w:hint="eastAsia" w:ascii="宋体" w:hAnsi="宋体" w:cs="宋体"/>
                <w:szCs w:val="21"/>
              </w:rPr>
              <w:t>颜色：卡其色</w:t>
            </w:r>
          </w:p>
          <w:p>
            <w:pPr>
              <w:spacing w:line="0" w:lineRule="atLeast"/>
              <w:rPr>
                <w:rFonts w:ascii="宋体" w:hAnsi="宋体" w:cs="宋体"/>
                <w:szCs w:val="21"/>
              </w:rPr>
            </w:pPr>
            <w:r>
              <w:rPr>
                <w:rFonts w:hint="eastAsia" w:ascii="宋体" w:hAnsi="宋体" w:cs="宋体"/>
                <w:szCs w:val="21"/>
              </w:rPr>
              <w:t>面料：CVC网格防静电厚斜纹线卡，大化环纺精梳坯布，士林染色</w:t>
            </w:r>
          </w:p>
          <w:p>
            <w:pPr>
              <w:spacing w:line="0" w:lineRule="atLeast"/>
              <w:rPr>
                <w:rFonts w:ascii="宋体" w:hAnsi="宋体" w:cs="宋体"/>
                <w:szCs w:val="21"/>
              </w:rPr>
            </w:pPr>
            <w:r>
              <w:rPr>
                <w:rFonts w:hint="eastAsia" w:ascii="宋体" w:hAnsi="宋体" w:cs="宋体"/>
                <w:szCs w:val="21"/>
              </w:rPr>
              <w:t>含棉：60%棉  40%涤</w:t>
            </w:r>
          </w:p>
          <w:p>
            <w:pPr>
              <w:spacing w:line="0" w:lineRule="atLeast"/>
              <w:rPr>
                <w:rFonts w:ascii="宋体" w:hAnsi="宋体" w:cs="宋体"/>
                <w:szCs w:val="21"/>
              </w:rPr>
            </w:pPr>
            <w:r>
              <w:rPr>
                <w:rFonts w:hint="eastAsia" w:ascii="宋体" w:hAnsi="宋体" w:cs="宋体"/>
                <w:szCs w:val="21"/>
              </w:rPr>
              <w:t>纱支：32/2*32/2双股</w:t>
            </w:r>
          </w:p>
          <w:p>
            <w:pPr>
              <w:spacing w:line="0" w:lineRule="atLeast"/>
              <w:rPr>
                <w:rFonts w:ascii="宋体" w:hAnsi="宋体" w:cs="宋体"/>
                <w:szCs w:val="21"/>
              </w:rPr>
            </w:pPr>
            <w:r>
              <w:rPr>
                <w:rFonts w:hint="eastAsia" w:ascii="宋体" w:hAnsi="宋体" w:cs="宋体"/>
                <w:szCs w:val="21"/>
              </w:rPr>
              <w:t>密度：100*53精梳</w:t>
            </w:r>
          </w:p>
          <w:p>
            <w:pPr>
              <w:spacing w:line="0" w:lineRule="atLeast"/>
              <w:rPr>
                <w:rFonts w:ascii="宋体" w:hAnsi="宋体" w:cs="宋体"/>
                <w:szCs w:val="21"/>
              </w:rPr>
            </w:pPr>
            <w:r>
              <w:rPr>
                <w:rFonts w:hint="eastAsia" w:ascii="宋体" w:hAnsi="宋体" w:cs="宋体"/>
                <w:szCs w:val="21"/>
              </w:rPr>
              <w:t>里料：正宗210S网格防静电绸</w:t>
            </w:r>
          </w:p>
          <w:p>
            <w:pPr>
              <w:spacing w:line="0" w:lineRule="atLeast"/>
              <w:rPr>
                <w:rFonts w:ascii="宋体" w:hAnsi="宋体" w:cs="宋体"/>
                <w:szCs w:val="21"/>
              </w:rPr>
            </w:pPr>
            <w:r>
              <w:rPr>
                <w:rFonts w:hint="eastAsia" w:ascii="宋体" w:hAnsi="宋体" w:cs="宋体"/>
                <w:szCs w:val="21"/>
              </w:rPr>
              <w:t>拉链：YKK拉链</w:t>
            </w:r>
          </w:p>
          <w:p>
            <w:pPr>
              <w:spacing w:line="0" w:lineRule="atLeast"/>
              <w:rPr>
                <w:szCs w:val="21"/>
              </w:rPr>
            </w:pPr>
            <w:r>
              <w:rPr>
                <w:rFonts w:hint="eastAsia" w:ascii="宋体" w:hAnsi="宋体" w:cs="宋体"/>
                <w:szCs w:val="21"/>
              </w:rPr>
              <w:t>防静电标准：符合GB12014-2019国家新标准/点对点电阻（Ω）1*10^5—1*10^11。</w:t>
            </w:r>
          </w:p>
        </w:tc>
        <w:tc>
          <w:tcPr>
            <w:tcW w:w="293" w:type="pct"/>
            <w:vAlign w:val="center"/>
          </w:tcPr>
          <w:p>
            <w:pPr>
              <w:spacing w:line="0" w:lineRule="atLeast"/>
              <w:jc w:val="center"/>
              <w:rPr>
                <w:szCs w:val="21"/>
              </w:rPr>
            </w:pPr>
            <w:r>
              <w:rPr>
                <w:rFonts w:hint="eastAsia"/>
                <w:szCs w:val="21"/>
              </w:rPr>
              <w:t>件</w:t>
            </w:r>
          </w:p>
        </w:tc>
        <w:tc>
          <w:tcPr>
            <w:tcW w:w="293" w:type="pct"/>
            <w:vAlign w:val="center"/>
          </w:tcPr>
          <w:p>
            <w:pPr>
              <w:spacing w:line="0" w:lineRule="atLeast"/>
              <w:jc w:val="center"/>
              <w:rPr>
                <w:szCs w:val="21"/>
              </w:rPr>
            </w:pPr>
            <w:r>
              <w:rPr>
                <w:rFonts w:hint="eastAsia"/>
                <w:szCs w:val="21"/>
              </w:rPr>
              <w:t>524</w:t>
            </w:r>
          </w:p>
        </w:tc>
        <w:tc>
          <w:tcPr>
            <w:tcW w:w="513" w:type="pct"/>
          </w:tcPr>
          <w:p>
            <w:pPr>
              <w:spacing w:line="0" w:lineRule="atLeast"/>
              <w:rPr>
                <w:szCs w:val="21"/>
              </w:rPr>
            </w:pPr>
          </w:p>
        </w:tc>
        <w:tc>
          <w:tcPr>
            <w:tcW w:w="513" w:type="pct"/>
          </w:tcPr>
          <w:p>
            <w:pPr>
              <w:spacing w:line="0" w:lineRule="atLeast"/>
              <w:rPr>
                <w:szCs w:val="21"/>
              </w:rPr>
            </w:pPr>
          </w:p>
        </w:tc>
        <w:tc>
          <w:tcPr>
            <w:tcW w:w="292"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67" w:type="pct"/>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806" w:type="pct"/>
            <w:vAlign w:val="center"/>
          </w:tcPr>
          <w:p>
            <w:pPr>
              <w:jc w:val="center"/>
              <w:rPr>
                <w:szCs w:val="21"/>
              </w:rPr>
            </w:pPr>
            <w:r>
              <w:rPr>
                <w:rFonts w:hint="eastAsia" w:ascii="宋体" w:hAnsi="宋体" w:cs="宋体"/>
                <w:szCs w:val="21"/>
              </w:rPr>
              <w:t>春秋装工作裤</w:t>
            </w:r>
          </w:p>
        </w:tc>
        <w:tc>
          <w:tcPr>
            <w:tcW w:w="293" w:type="pct"/>
          </w:tcPr>
          <w:p>
            <w:pPr>
              <w:rPr>
                <w:rFonts w:ascii="宋体" w:hAnsi="宋体" w:cs="宋体"/>
                <w:szCs w:val="21"/>
              </w:rPr>
            </w:pPr>
          </w:p>
        </w:tc>
        <w:tc>
          <w:tcPr>
            <w:tcW w:w="1830" w:type="pct"/>
          </w:tcPr>
          <w:p>
            <w:pPr>
              <w:spacing w:line="0" w:lineRule="atLeast"/>
              <w:rPr>
                <w:rFonts w:ascii="宋体" w:hAnsi="宋体" w:cs="宋体"/>
                <w:szCs w:val="21"/>
              </w:rPr>
            </w:pPr>
            <w:r>
              <w:rPr>
                <w:rFonts w:hint="eastAsia" w:ascii="宋体" w:hAnsi="宋体" w:cs="宋体"/>
                <w:szCs w:val="21"/>
              </w:rPr>
              <w:t>颜色：卡其色</w:t>
            </w:r>
          </w:p>
          <w:p>
            <w:pPr>
              <w:spacing w:line="0" w:lineRule="atLeast"/>
              <w:rPr>
                <w:rFonts w:ascii="宋体" w:hAnsi="宋体" w:cs="宋体"/>
                <w:szCs w:val="21"/>
              </w:rPr>
            </w:pPr>
            <w:r>
              <w:rPr>
                <w:rFonts w:hint="eastAsia" w:ascii="宋体" w:hAnsi="宋体" w:cs="宋体"/>
                <w:szCs w:val="21"/>
              </w:rPr>
              <w:t>面料：CVC网格防静电厚斜纹线卡，大化环纺精梳坯布，士林染色</w:t>
            </w:r>
          </w:p>
          <w:p>
            <w:pPr>
              <w:spacing w:line="0" w:lineRule="atLeast"/>
              <w:rPr>
                <w:rFonts w:ascii="宋体" w:hAnsi="宋体" w:cs="宋体"/>
                <w:szCs w:val="21"/>
              </w:rPr>
            </w:pPr>
            <w:r>
              <w:rPr>
                <w:rFonts w:hint="eastAsia" w:ascii="宋体" w:hAnsi="宋体" w:cs="宋体"/>
                <w:szCs w:val="21"/>
              </w:rPr>
              <w:t>含棉：60%棉  40%涤</w:t>
            </w:r>
          </w:p>
          <w:p>
            <w:pPr>
              <w:spacing w:line="0" w:lineRule="atLeast"/>
              <w:rPr>
                <w:rFonts w:ascii="宋体" w:hAnsi="宋体" w:cs="宋体"/>
                <w:szCs w:val="21"/>
              </w:rPr>
            </w:pPr>
            <w:r>
              <w:rPr>
                <w:rFonts w:hint="eastAsia" w:ascii="宋体" w:hAnsi="宋体" w:cs="宋体"/>
                <w:szCs w:val="21"/>
              </w:rPr>
              <w:t>纱支：32/2*32/2双股</w:t>
            </w:r>
          </w:p>
          <w:p>
            <w:pPr>
              <w:spacing w:line="0" w:lineRule="atLeast"/>
              <w:rPr>
                <w:rFonts w:ascii="宋体" w:hAnsi="宋体" w:cs="宋体"/>
                <w:szCs w:val="21"/>
              </w:rPr>
            </w:pPr>
            <w:r>
              <w:rPr>
                <w:rFonts w:hint="eastAsia" w:ascii="宋体" w:hAnsi="宋体" w:cs="宋体"/>
                <w:szCs w:val="21"/>
              </w:rPr>
              <w:t>密度：100*53精梳</w:t>
            </w:r>
          </w:p>
          <w:p>
            <w:pPr>
              <w:spacing w:line="0" w:lineRule="atLeast"/>
              <w:rPr>
                <w:rFonts w:ascii="宋体" w:hAnsi="宋体" w:cs="宋体"/>
                <w:szCs w:val="21"/>
              </w:rPr>
            </w:pPr>
            <w:r>
              <w:rPr>
                <w:rFonts w:hint="eastAsia" w:ascii="宋体" w:hAnsi="宋体" w:cs="宋体"/>
                <w:szCs w:val="21"/>
              </w:rPr>
              <w:t>里料：正宗210S网格防静电绸</w:t>
            </w:r>
          </w:p>
          <w:p>
            <w:pPr>
              <w:spacing w:line="0" w:lineRule="atLeast"/>
              <w:rPr>
                <w:rFonts w:ascii="宋体" w:hAnsi="宋体" w:cs="宋体"/>
                <w:szCs w:val="21"/>
              </w:rPr>
            </w:pPr>
            <w:r>
              <w:rPr>
                <w:rFonts w:hint="eastAsia" w:ascii="宋体" w:hAnsi="宋体" w:cs="宋体"/>
                <w:szCs w:val="21"/>
              </w:rPr>
              <w:t>拉链：YKK拉链</w:t>
            </w:r>
          </w:p>
          <w:p>
            <w:pPr>
              <w:spacing w:line="0" w:lineRule="atLeast"/>
              <w:rPr>
                <w:rFonts w:ascii="宋体" w:hAnsi="宋体" w:cs="宋体"/>
                <w:szCs w:val="21"/>
              </w:rPr>
            </w:pPr>
            <w:r>
              <w:rPr>
                <w:rFonts w:hint="eastAsia" w:ascii="宋体" w:hAnsi="宋体" w:cs="宋体"/>
                <w:szCs w:val="21"/>
              </w:rPr>
              <w:t>防静电标准：符合GB12014-2019国家新标准/点对点电阻（Ω）1*10^5—1*10^11。</w:t>
            </w:r>
          </w:p>
        </w:tc>
        <w:tc>
          <w:tcPr>
            <w:tcW w:w="293" w:type="pct"/>
            <w:vAlign w:val="center"/>
          </w:tcPr>
          <w:p>
            <w:pPr>
              <w:spacing w:line="0" w:lineRule="atLeast"/>
              <w:jc w:val="center"/>
              <w:rPr>
                <w:szCs w:val="21"/>
              </w:rPr>
            </w:pPr>
            <w:r>
              <w:rPr>
                <w:rFonts w:hint="eastAsia"/>
                <w:szCs w:val="21"/>
              </w:rPr>
              <w:t>条</w:t>
            </w:r>
          </w:p>
        </w:tc>
        <w:tc>
          <w:tcPr>
            <w:tcW w:w="293" w:type="pct"/>
            <w:vAlign w:val="center"/>
          </w:tcPr>
          <w:p>
            <w:pPr>
              <w:spacing w:line="0" w:lineRule="atLeast"/>
              <w:jc w:val="center"/>
              <w:rPr>
                <w:szCs w:val="21"/>
              </w:rPr>
            </w:pPr>
            <w:r>
              <w:rPr>
                <w:rFonts w:hint="eastAsia"/>
                <w:szCs w:val="21"/>
              </w:rPr>
              <w:t>440</w:t>
            </w:r>
          </w:p>
        </w:tc>
        <w:tc>
          <w:tcPr>
            <w:tcW w:w="513" w:type="pct"/>
          </w:tcPr>
          <w:p>
            <w:pPr>
              <w:spacing w:line="0" w:lineRule="atLeast"/>
              <w:rPr>
                <w:szCs w:val="21"/>
              </w:rPr>
            </w:pPr>
          </w:p>
        </w:tc>
        <w:tc>
          <w:tcPr>
            <w:tcW w:w="513" w:type="pct"/>
          </w:tcPr>
          <w:p>
            <w:pPr>
              <w:spacing w:line="0" w:lineRule="atLeast"/>
              <w:rPr>
                <w:szCs w:val="21"/>
              </w:rPr>
            </w:pPr>
          </w:p>
        </w:tc>
        <w:tc>
          <w:tcPr>
            <w:tcW w:w="292"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67" w:type="pct"/>
            <w:vAlign w:val="center"/>
          </w:tcPr>
          <w:p>
            <w:pPr>
              <w:jc w:val="center"/>
              <w:rPr>
                <w:rFonts w:ascii="宋体" w:hAnsi="宋体" w:cs="宋体"/>
                <w:color w:val="000000"/>
                <w:sz w:val="18"/>
                <w:szCs w:val="18"/>
              </w:rPr>
            </w:pPr>
            <w:r>
              <w:rPr>
                <w:rFonts w:hint="eastAsia" w:ascii="宋体" w:hAnsi="宋体" w:cs="宋体"/>
                <w:color w:val="000000"/>
                <w:sz w:val="18"/>
                <w:szCs w:val="18"/>
              </w:rPr>
              <w:t>3</w:t>
            </w:r>
          </w:p>
        </w:tc>
        <w:tc>
          <w:tcPr>
            <w:tcW w:w="806" w:type="pct"/>
            <w:vAlign w:val="center"/>
          </w:tcPr>
          <w:p>
            <w:pPr>
              <w:jc w:val="center"/>
              <w:rPr>
                <w:szCs w:val="21"/>
              </w:rPr>
            </w:pPr>
            <w:r>
              <w:rPr>
                <w:rFonts w:hint="eastAsia"/>
                <w:szCs w:val="21"/>
              </w:rPr>
              <w:t xml:space="preserve">冬季上衣     </w:t>
            </w:r>
          </w:p>
          <w:p>
            <w:pPr>
              <w:jc w:val="center"/>
              <w:rPr>
                <w:szCs w:val="21"/>
              </w:rPr>
            </w:pPr>
            <w:r>
              <w:rPr>
                <w:rFonts w:hint="eastAsia"/>
                <w:szCs w:val="21"/>
              </w:rPr>
              <w:t>（含内胆）</w:t>
            </w:r>
          </w:p>
        </w:tc>
        <w:tc>
          <w:tcPr>
            <w:tcW w:w="293" w:type="pct"/>
          </w:tcPr>
          <w:p>
            <w:pPr>
              <w:rPr>
                <w:rFonts w:ascii="宋体" w:hAnsi="宋体" w:cs="宋体"/>
                <w:szCs w:val="21"/>
              </w:rPr>
            </w:pPr>
          </w:p>
        </w:tc>
        <w:tc>
          <w:tcPr>
            <w:tcW w:w="1830" w:type="pct"/>
            <w:vAlign w:val="center"/>
          </w:tcPr>
          <w:p>
            <w:pPr>
              <w:spacing w:line="0" w:lineRule="atLeast"/>
              <w:jc w:val="left"/>
              <w:rPr>
                <w:rFonts w:ascii="宋体" w:hAnsi="宋体" w:cs="宋体"/>
                <w:szCs w:val="21"/>
              </w:rPr>
            </w:pPr>
            <w:r>
              <w:rPr>
                <w:rFonts w:hint="eastAsia" w:ascii="宋体" w:hAnsi="宋体" w:cs="宋体"/>
                <w:szCs w:val="21"/>
              </w:rPr>
              <w:t>颜色：卡其色</w:t>
            </w:r>
          </w:p>
          <w:p>
            <w:pPr>
              <w:spacing w:line="0" w:lineRule="atLeast"/>
              <w:jc w:val="left"/>
              <w:rPr>
                <w:rFonts w:ascii="宋体" w:hAnsi="宋体" w:cs="宋体"/>
                <w:szCs w:val="21"/>
              </w:rPr>
            </w:pPr>
            <w:r>
              <w:rPr>
                <w:rFonts w:hint="eastAsia" w:ascii="宋体" w:hAnsi="宋体" w:cs="宋体"/>
                <w:szCs w:val="21"/>
              </w:rPr>
              <w:t>面料：CVC网格防静电厚斜纹线卡 ， 大化环纺精梳坯布，士林染色</w:t>
            </w:r>
          </w:p>
          <w:p>
            <w:pPr>
              <w:spacing w:line="0" w:lineRule="atLeast"/>
              <w:jc w:val="left"/>
              <w:rPr>
                <w:rFonts w:ascii="宋体" w:hAnsi="宋体" w:cs="宋体"/>
                <w:szCs w:val="21"/>
              </w:rPr>
            </w:pPr>
            <w:r>
              <w:rPr>
                <w:rFonts w:hint="eastAsia" w:ascii="宋体" w:hAnsi="宋体" w:cs="宋体"/>
                <w:szCs w:val="21"/>
              </w:rPr>
              <w:t>里料：正宗210S网格防静电绸</w:t>
            </w:r>
          </w:p>
          <w:p>
            <w:pPr>
              <w:spacing w:line="0" w:lineRule="atLeast"/>
              <w:jc w:val="left"/>
              <w:rPr>
                <w:rFonts w:ascii="宋体" w:hAnsi="宋体" w:cs="宋体"/>
                <w:szCs w:val="21"/>
              </w:rPr>
            </w:pPr>
            <w:r>
              <w:rPr>
                <w:rFonts w:hint="eastAsia" w:ascii="宋体" w:hAnsi="宋体" w:cs="宋体"/>
                <w:szCs w:val="21"/>
              </w:rPr>
              <w:t>填充物：新雪丽3M高效暖绒棉</w:t>
            </w:r>
          </w:p>
          <w:p>
            <w:pPr>
              <w:spacing w:line="0" w:lineRule="atLeast"/>
              <w:jc w:val="left"/>
              <w:rPr>
                <w:rFonts w:ascii="宋体" w:hAnsi="宋体" w:cs="宋体"/>
                <w:szCs w:val="21"/>
              </w:rPr>
            </w:pPr>
            <w:r>
              <w:rPr>
                <w:rFonts w:hint="eastAsia" w:ascii="宋体" w:hAnsi="宋体" w:cs="宋体"/>
                <w:szCs w:val="21"/>
              </w:rPr>
              <w:t>拉链：YKK拉链</w:t>
            </w:r>
          </w:p>
          <w:p>
            <w:pPr>
              <w:spacing w:line="0" w:lineRule="atLeast"/>
              <w:jc w:val="left"/>
              <w:rPr>
                <w:szCs w:val="21"/>
              </w:rPr>
            </w:pPr>
            <w:r>
              <w:rPr>
                <w:rFonts w:hint="eastAsia" w:ascii="宋体" w:hAnsi="宋体" w:cs="宋体"/>
                <w:szCs w:val="21"/>
              </w:rPr>
              <w:t>防静电标准：符合GB12014-2019国家新标准/点对点电阻（Ω）1*10^5—1*10^11。</w:t>
            </w:r>
          </w:p>
        </w:tc>
        <w:tc>
          <w:tcPr>
            <w:tcW w:w="293" w:type="pct"/>
            <w:vAlign w:val="center"/>
          </w:tcPr>
          <w:p>
            <w:pPr>
              <w:spacing w:line="0" w:lineRule="atLeast"/>
              <w:jc w:val="center"/>
              <w:rPr>
                <w:szCs w:val="21"/>
              </w:rPr>
            </w:pPr>
            <w:r>
              <w:rPr>
                <w:rFonts w:hint="eastAsia"/>
                <w:szCs w:val="21"/>
              </w:rPr>
              <w:t>件</w:t>
            </w:r>
          </w:p>
        </w:tc>
        <w:tc>
          <w:tcPr>
            <w:tcW w:w="293" w:type="pct"/>
            <w:vAlign w:val="center"/>
          </w:tcPr>
          <w:p>
            <w:pPr>
              <w:spacing w:line="0" w:lineRule="atLeast"/>
              <w:jc w:val="center"/>
              <w:rPr>
                <w:szCs w:val="21"/>
              </w:rPr>
            </w:pPr>
            <w:r>
              <w:rPr>
                <w:rFonts w:hint="eastAsia"/>
                <w:szCs w:val="21"/>
              </w:rPr>
              <w:t>273</w:t>
            </w:r>
          </w:p>
        </w:tc>
        <w:tc>
          <w:tcPr>
            <w:tcW w:w="513" w:type="pct"/>
          </w:tcPr>
          <w:p>
            <w:pPr>
              <w:spacing w:line="0" w:lineRule="atLeast"/>
              <w:rPr>
                <w:szCs w:val="21"/>
              </w:rPr>
            </w:pPr>
          </w:p>
        </w:tc>
        <w:tc>
          <w:tcPr>
            <w:tcW w:w="513" w:type="pct"/>
          </w:tcPr>
          <w:p>
            <w:pPr>
              <w:spacing w:line="0" w:lineRule="atLeast"/>
              <w:rPr>
                <w:szCs w:val="21"/>
              </w:rPr>
            </w:pPr>
          </w:p>
        </w:tc>
        <w:tc>
          <w:tcPr>
            <w:tcW w:w="292"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096" w:type="pct"/>
            <w:gridSpan w:val="4"/>
            <w:vAlign w:val="center"/>
          </w:tcPr>
          <w:p>
            <w:pPr>
              <w:widowControl/>
              <w:spacing w:line="0" w:lineRule="atLeast"/>
              <w:jc w:val="left"/>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以上合计总价（大写）： </w:t>
            </w:r>
          </w:p>
        </w:tc>
        <w:tc>
          <w:tcPr>
            <w:tcW w:w="1904" w:type="pct"/>
            <w:gridSpan w:val="5"/>
            <w:vAlign w:val="center"/>
          </w:tcPr>
          <w:p>
            <w:pPr>
              <w:widowControl/>
              <w:spacing w:line="0" w:lineRule="atLeast"/>
              <w:jc w:val="left"/>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小写：</w:t>
            </w:r>
          </w:p>
        </w:tc>
      </w:tr>
    </w:tbl>
    <w:p>
      <w:pPr>
        <w:spacing w:line="600" w:lineRule="exact"/>
        <w:ind w:firstLine="643" w:firstLineChars="200"/>
        <w:jc w:val="center"/>
        <w:rPr>
          <w:rFonts w:ascii="方正仿宋简体" w:hAnsi="方正仿宋简体" w:eastAsia="方正仿宋简体" w:cs="方正仿宋简体"/>
          <w:b/>
          <w:sz w:val="32"/>
          <w:szCs w:val="32"/>
        </w:rPr>
      </w:pPr>
    </w:p>
    <w:p>
      <w:pPr>
        <w:spacing w:line="600" w:lineRule="exact"/>
        <w:ind w:firstLine="643" w:firstLineChars="200"/>
        <w:jc w:val="center"/>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镇江海纳川公铁运输有限公司</w:t>
      </w:r>
    </w:p>
    <w:tbl>
      <w:tblPr>
        <w:tblStyle w:val="12"/>
        <w:tblW w:w="5679" w:type="pct"/>
        <w:tblInd w:w="-6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gridCol w:w="1560"/>
        <w:gridCol w:w="567"/>
        <w:gridCol w:w="3543"/>
        <w:gridCol w:w="567"/>
        <w:gridCol w:w="567"/>
        <w:gridCol w:w="993"/>
        <w:gridCol w:w="993"/>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7"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序号</w:t>
            </w:r>
          </w:p>
        </w:tc>
        <w:tc>
          <w:tcPr>
            <w:tcW w:w="806"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标的名称</w:t>
            </w:r>
          </w:p>
        </w:tc>
        <w:tc>
          <w:tcPr>
            <w:tcW w:w="29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型号</w:t>
            </w:r>
          </w:p>
        </w:tc>
        <w:tc>
          <w:tcPr>
            <w:tcW w:w="1830"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规格</w:t>
            </w:r>
          </w:p>
        </w:tc>
        <w:tc>
          <w:tcPr>
            <w:tcW w:w="29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单位</w:t>
            </w:r>
          </w:p>
        </w:tc>
        <w:tc>
          <w:tcPr>
            <w:tcW w:w="29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数量</w:t>
            </w:r>
          </w:p>
        </w:tc>
        <w:tc>
          <w:tcPr>
            <w:tcW w:w="51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单价  （含税）</w:t>
            </w:r>
          </w:p>
        </w:tc>
        <w:tc>
          <w:tcPr>
            <w:tcW w:w="51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总价   （含税）</w:t>
            </w:r>
          </w:p>
        </w:tc>
        <w:tc>
          <w:tcPr>
            <w:tcW w:w="292"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7" w:type="pct"/>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806" w:type="pct"/>
            <w:vAlign w:val="center"/>
          </w:tcPr>
          <w:p>
            <w:pPr>
              <w:jc w:val="center"/>
              <w:rPr>
                <w:rFonts w:ascii="宋体" w:hAnsi="宋体" w:cs="宋体"/>
                <w:szCs w:val="21"/>
              </w:rPr>
            </w:pPr>
            <w:r>
              <w:rPr>
                <w:rFonts w:hint="eastAsia" w:ascii="宋体" w:hAnsi="宋体" w:cs="宋体"/>
                <w:szCs w:val="21"/>
              </w:rPr>
              <w:t>春秋装工作服</w:t>
            </w:r>
          </w:p>
        </w:tc>
        <w:tc>
          <w:tcPr>
            <w:tcW w:w="293" w:type="pct"/>
          </w:tcPr>
          <w:p>
            <w:pPr>
              <w:rPr>
                <w:rFonts w:ascii="宋体" w:hAnsi="宋体" w:cs="宋体"/>
                <w:sz w:val="28"/>
                <w:szCs w:val="36"/>
              </w:rPr>
            </w:pPr>
          </w:p>
        </w:tc>
        <w:tc>
          <w:tcPr>
            <w:tcW w:w="1830" w:type="pct"/>
            <w:vAlign w:val="center"/>
          </w:tcPr>
          <w:p>
            <w:pPr>
              <w:spacing w:line="0" w:lineRule="atLeast"/>
              <w:rPr>
                <w:rFonts w:ascii="宋体" w:hAnsi="宋体" w:cs="宋体"/>
                <w:szCs w:val="21"/>
              </w:rPr>
            </w:pPr>
            <w:r>
              <w:rPr>
                <w:rFonts w:hint="eastAsia" w:ascii="宋体" w:hAnsi="宋体" w:cs="宋体"/>
                <w:szCs w:val="21"/>
              </w:rPr>
              <w:t>颜色：卡其色</w:t>
            </w:r>
          </w:p>
          <w:p>
            <w:pPr>
              <w:spacing w:line="0" w:lineRule="atLeast"/>
              <w:rPr>
                <w:rFonts w:ascii="宋体" w:hAnsi="宋体" w:cs="宋体"/>
                <w:szCs w:val="21"/>
              </w:rPr>
            </w:pPr>
            <w:r>
              <w:rPr>
                <w:rFonts w:hint="eastAsia" w:ascii="宋体" w:hAnsi="宋体" w:cs="宋体"/>
                <w:szCs w:val="21"/>
              </w:rPr>
              <w:t>面料：CVC网格防静电厚斜纹线卡，大化环纺精梳坯布，士林染色</w:t>
            </w:r>
          </w:p>
          <w:p>
            <w:pPr>
              <w:spacing w:line="0" w:lineRule="atLeast"/>
              <w:rPr>
                <w:rFonts w:ascii="宋体" w:hAnsi="宋体" w:cs="宋体"/>
                <w:szCs w:val="21"/>
              </w:rPr>
            </w:pPr>
            <w:r>
              <w:rPr>
                <w:rFonts w:hint="eastAsia" w:ascii="宋体" w:hAnsi="宋体" w:cs="宋体"/>
                <w:szCs w:val="21"/>
              </w:rPr>
              <w:t>含棉：60%棉  40%涤</w:t>
            </w:r>
          </w:p>
          <w:p>
            <w:pPr>
              <w:spacing w:line="0" w:lineRule="atLeast"/>
              <w:rPr>
                <w:rFonts w:ascii="宋体" w:hAnsi="宋体" w:cs="宋体"/>
                <w:szCs w:val="21"/>
              </w:rPr>
            </w:pPr>
            <w:r>
              <w:rPr>
                <w:rFonts w:hint="eastAsia" w:ascii="宋体" w:hAnsi="宋体" w:cs="宋体"/>
                <w:szCs w:val="21"/>
              </w:rPr>
              <w:t>纱支：32/2*32/2双股</w:t>
            </w:r>
          </w:p>
          <w:p>
            <w:pPr>
              <w:spacing w:line="0" w:lineRule="atLeast"/>
              <w:rPr>
                <w:rFonts w:ascii="宋体" w:hAnsi="宋体" w:cs="宋体"/>
                <w:szCs w:val="21"/>
              </w:rPr>
            </w:pPr>
            <w:r>
              <w:rPr>
                <w:rFonts w:hint="eastAsia" w:ascii="宋体" w:hAnsi="宋体" w:cs="宋体"/>
                <w:szCs w:val="21"/>
              </w:rPr>
              <w:t>密度：100*53精梳</w:t>
            </w:r>
          </w:p>
          <w:p>
            <w:pPr>
              <w:spacing w:line="0" w:lineRule="atLeast"/>
              <w:rPr>
                <w:rFonts w:ascii="宋体" w:hAnsi="宋体" w:cs="宋体"/>
                <w:szCs w:val="21"/>
              </w:rPr>
            </w:pPr>
            <w:r>
              <w:rPr>
                <w:rFonts w:hint="eastAsia" w:ascii="宋体" w:hAnsi="宋体" w:cs="宋体"/>
                <w:szCs w:val="21"/>
              </w:rPr>
              <w:t>里料：正宗210S网格防静电绸</w:t>
            </w:r>
          </w:p>
          <w:p>
            <w:pPr>
              <w:spacing w:line="0" w:lineRule="atLeast"/>
              <w:rPr>
                <w:rFonts w:ascii="宋体" w:hAnsi="宋体" w:cs="宋体"/>
                <w:szCs w:val="21"/>
              </w:rPr>
            </w:pPr>
            <w:r>
              <w:rPr>
                <w:rFonts w:hint="eastAsia" w:ascii="宋体" w:hAnsi="宋体" w:cs="宋体"/>
                <w:szCs w:val="21"/>
              </w:rPr>
              <w:t>拉链：YKK拉链</w:t>
            </w:r>
          </w:p>
          <w:p>
            <w:pPr>
              <w:spacing w:line="0" w:lineRule="atLeast"/>
              <w:rPr>
                <w:szCs w:val="21"/>
              </w:rPr>
            </w:pPr>
            <w:r>
              <w:rPr>
                <w:rFonts w:hint="eastAsia" w:ascii="宋体" w:hAnsi="宋体" w:cs="宋体"/>
                <w:szCs w:val="21"/>
              </w:rPr>
              <w:t>防静电标准：符合GB12014-2019国家新标准/点对点电阻（Ω）1*10^5—1*10^11。</w:t>
            </w:r>
          </w:p>
        </w:tc>
        <w:tc>
          <w:tcPr>
            <w:tcW w:w="293" w:type="pct"/>
            <w:vAlign w:val="center"/>
          </w:tcPr>
          <w:p>
            <w:pPr>
              <w:spacing w:line="0" w:lineRule="atLeast"/>
              <w:jc w:val="center"/>
              <w:rPr>
                <w:szCs w:val="21"/>
              </w:rPr>
            </w:pPr>
            <w:r>
              <w:rPr>
                <w:rFonts w:hint="eastAsia"/>
                <w:szCs w:val="21"/>
              </w:rPr>
              <w:t>件</w:t>
            </w:r>
          </w:p>
        </w:tc>
        <w:tc>
          <w:tcPr>
            <w:tcW w:w="293" w:type="pct"/>
            <w:vAlign w:val="center"/>
          </w:tcPr>
          <w:p>
            <w:pPr>
              <w:spacing w:line="0" w:lineRule="atLeast"/>
              <w:jc w:val="center"/>
              <w:rPr>
                <w:szCs w:val="21"/>
              </w:rPr>
            </w:pPr>
            <w:r>
              <w:rPr>
                <w:rFonts w:hint="eastAsia"/>
                <w:szCs w:val="21"/>
              </w:rPr>
              <w:t>162</w:t>
            </w:r>
          </w:p>
        </w:tc>
        <w:tc>
          <w:tcPr>
            <w:tcW w:w="513" w:type="pct"/>
          </w:tcPr>
          <w:p>
            <w:pPr>
              <w:spacing w:line="0" w:lineRule="atLeast"/>
              <w:rPr>
                <w:szCs w:val="21"/>
              </w:rPr>
            </w:pPr>
          </w:p>
        </w:tc>
        <w:tc>
          <w:tcPr>
            <w:tcW w:w="513" w:type="pct"/>
          </w:tcPr>
          <w:p>
            <w:pPr>
              <w:spacing w:line="0" w:lineRule="atLeast"/>
              <w:rPr>
                <w:szCs w:val="21"/>
              </w:rPr>
            </w:pPr>
          </w:p>
        </w:tc>
        <w:tc>
          <w:tcPr>
            <w:tcW w:w="292"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67" w:type="pct"/>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806" w:type="pct"/>
            <w:vAlign w:val="center"/>
          </w:tcPr>
          <w:p>
            <w:pPr>
              <w:jc w:val="center"/>
              <w:rPr>
                <w:szCs w:val="21"/>
              </w:rPr>
            </w:pPr>
            <w:r>
              <w:rPr>
                <w:rFonts w:hint="eastAsia" w:ascii="宋体" w:hAnsi="宋体" w:cs="宋体"/>
                <w:szCs w:val="21"/>
              </w:rPr>
              <w:t>春秋装工作裤</w:t>
            </w:r>
          </w:p>
        </w:tc>
        <w:tc>
          <w:tcPr>
            <w:tcW w:w="293" w:type="pct"/>
          </w:tcPr>
          <w:p>
            <w:pPr>
              <w:rPr>
                <w:rFonts w:ascii="宋体" w:hAnsi="宋体" w:cs="宋体"/>
                <w:szCs w:val="21"/>
              </w:rPr>
            </w:pPr>
          </w:p>
        </w:tc>
        <w:tc>
          <w:tcPr>
            <w:tcW w:w="1830" w:type="pct"/>
          </w:tcPr>
          <w:p>
            <w:pPr>
              <w:spacing w:line="0" w:lineRule="atLeast"/>
              <w:rPr>
                <w:rFonts w:ascii="宋体" w:hAnsi="宋体" w:cs="宋体"/>
                <w:szCs w:val="21"/>
              </w:rPr>
            </w:pPr>
            <w:r>
              <w:rPr>
                <w:rFonts w:hint="eastAsia" w:ascii="宋体" w:hAnsi="宋体" w:cs="宋体"/>
                <w:szCs w:val="21"/>
              </w:rPr>
              <w:t>颜色：卡其色</w:t>
            </w:r>
          </w:p>
          <w:p>
            <w:pPr>
              <w:spacing w:line="0" w:lineRule="atLeast"/>
              <w:rPr>
                <w:rFonts w:ascii="宋体" w:hAnsi="宋体" w:cs="宋体"/>
                <w:szCs w:val="21"/>
              </w:rPr>
            </w:pPr>
            <w:r>
              <w:rPr>
                <w:rFonts w:hint="eastAsia" w:ascii="宋体" w:hAnsi="宋体" w:cs="宋体"/>
                <w:szCs w:val="21"/>
              </w:rPr>
              <w:t>面料：CVC网格防静电厚斜纹线卡，大化环纺精梳坯布，士林染色</w:t>
            </w:r>
          </w:p>
          <w:p>
            <w:pPr>
              <w:spacing w:line="0" w:lineRule="atLeast"/>
              <w:rPr>
                <w:rFonts w:ascii="宋体" w:hAnsi="宋体" w:cs="宋体"/>
                <w:szCs w:val="21"/>
              </w:rPr>
            </w:pPr>
            <w:r>
              <w:rPr>
                <w:rFonts w:hint="eastAsia" w:ascii="宋体" w:hAnsi="宋体" w:cs="宋体"/>
                <w:szCs w:val="21"/>
              </w:rPr>
              <w:t>含棉：60%棉  40%涤</w:t>
            </w:r>
          </w:p>
          <w:p>
            <w:pPr>
              <w:spacing w:line="0" w:lineRule="atLeast"/>
              <w:rPr>
                <w:rFonts w:ascii="宋体" w:hAnsi="宋体" w:cs="宋体"/>
                <w:szCs w:val="21"/>
              </w:rPr>
            </w:pPr>
            <w:r>
              <w:rPr>
                <w:rFonts w:hint="eastAsia" w:ascii="宋体" w:hAnsi="宋体" w:cs="宋体"/>
                <w:szCs w:val="21"/>
              </w:rPr>
              <w:t>纱支：32/2*32/2双股</w:t>
            </w:r>
          </w:p>
          <w:p>
            <w:pPr>
              <w:spacing w:line="0" w:lineRule="atLeast"/>
              <w:rPr>
                <w:rFonts w:ascii="宋体" w:hAnsi="宋体" w:cs="宋体"/>
                <w:szCs w:val="21"/>
              </w:rPr>
            </w:pPr>
            <w:r>
              <w:rPr>
                <w:rFonts w:hint="eastAsia" w:ascii="宋体" w:hAnsi="宋体" w:cs="宋体"/>
                <w:szCs w:val="21"/>
              </w:rPr>
              <w:t>密度：100*53精梳</w:t>
            </w:r>
          </w:p>
          <w:p>
            <w:pPr>
              <w:spacing w:line="0" w:lineRule="atLeast"/>
              <w:rPr>
                <w:rFonts w:ascii="宋体" w:hAnsi="宋体" w:cs="宋体"/>
                <w:szCs w:val="21"/>
              </w:rPr>
            </w:pPr>
            <w:r>
              <w:rPr>
                <w:rFonts w:hint="eastAsia" w:ascii="宋体" w:hAnsi="宋体" w:cs="宋体"/>
                <w:szCs w:val="21"/>
              </w:rPr>
              <w:t>里料：正宗210S网格防静电绸</w:t>
            </w:r>
          </w:p>
          <w:p>
            <w:pPr>
              <w:spacing w:line="0" w:lineRule="atLeast"/>
              <w:rPr>
                <w:rFonts w:ascii="宋体" w:hAnsi="宋体" w:cs="宋体"/>
                <w:szCs w:val="21"/>
              </w:rPr>
            </w:pPr>
            <w:r>
              <w:rPr>
                <w:rFonts w:hint="eastAsia" w:ascii="宋体" w:hAnsi="宋体" w:cs="宋体"/>
                <w:szCs w:val="21"/>
              </w:rPr>
              <w:t>拉链：YKK拉链</w:t>
            </w:r>
          </w:p>
          <w:p>
            <w:pPr>
              <w:spacing w:line="0" w:lineRule="atLeast"/>
              <w:rPr>
                <w:rFonts w:ascii="宋体" w:hAnsi="宋体" w:cs="宋体"/>
                <w:szCs w:val="21"/>
              </w:rPr>
            </w:pPr>
            <w:r>
              <w:rPr>
                <w:rFonts w:hint="eastAsia" w:ascii="宋体" w:hAnsi="宋体" w:cs="宋体"/>
                <w:szCs w:val="21"/>
              </w:rPr>
              <w:t>防静电标准：符合GB12014-2019国家新标准/点对点电阻（Ω）1*10^5—1*10^11。</w:t>
            </w:r>
          </w:p>
        </w:tc>
        <w:tc>
          <w:tcPr>
            <w:tcW w:w="293" w:type="pct"/>
            <w:vAlign w:val="center"/>
          </w:tcPr>
          <w:p>
            <w:pPr>
              <w:spacing w:line="0" w:lineRule="atLeast"/>
              <w:jc w:val="center"/>
              <w:rPr>
                <w:szCs w:val="21"/>
              </w:rPr>
            </w:pPr>
            <w:r>
              <w:rPr>
                <w:rFonts w:hint="eastAsia"/>
                <w:szCs w:val="21"/>
              </w:rPr>
              <w:t>条</w:t>
            </w:r>
          </w:p>
        </w:tc>
        <w:tc>
          <w:tcPr>
            <w:tcW w:w="293" w:type="pct"/>
            <w:vAlign w:val="center"/>
          </w:tcPr>
          <w:p>
            <w:pPr>
              <w:spacing w:line="0" w:lineRule="atLeast"/>
              <w:jc w:val="center"/>
              <w:rPr>
                <w:szCs w:val="21"/>
              </w:rPr>
            </w:pPr>
            <w:r>
              <w:rPr>
                <w:rFonts w:hint="eastAsia"/>
                <w:szCs w:val="21"/>
              </w:rPr>
              <w:t>162</w:t>
            </w:r>
          </w:p>
        </w:tc>
        <w:tc>
          <w:tcPr>
            <w:tcW w:w="513" w:type="pct"/>
          </w:tcPr>
          <w:p>
            <w:pPr>
              <w:spacing w:line="0" w:lineRule="atLeast"/>
              <w:rPr>
                <w:szCs w:val="21"/>
              </w:rPr>
            </w:pPr>
          </w:p>
        </w:tc>
        <w:tc>
          <w:tcPr>
            <w:tcW w:w="513" w:type="pct"/>
          </w:tcPr>
          <w:p>
            <w:pPr>
              <w:spacing w:line="0" w:lineRule="atLeast"/>
              <w:rPr>
                <w:szCs w:val="21"/>
              </w:rPr>
            </w:pPr>
          </w:p>
        </w:tc>
        <w:tc>
          <w:tcPr>
            <w:tcW w:w="292"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67" w:type="pct"/>
            <w:vAlign w:val="center"/>
          </w:tcPr>
          <w:p>
            <w:pPr>
              <w:jc w:val="center"/>
              <w:rPr>
                <w:rFonts w:ascii="宋体" w:hAnsi="宋体" w:cs="宋体"/>
                <w:color w:val="000000"/>
                <w:sz w:val="18"/>
                <w:szCs w:val="18"/>
              </w:rPr>
            </w:pPr>
            <w:r>
              <w:rPr>
                <w:rFonts w:hint="eastAsia" w:ascii="宋体" w:hAnsi="宋体" w:cs="宋体"/>
                <w:color w:val="000000"/>
                <w:sz w:val="18"/>
                <w:szCs w:val="18"/>
              </w:rPr>
              <w:t>3</w:t>
            </w:r>
          </w:p>
        </w:tc>
        <w:tc>
          <w:tcPr>
            <w:tcW w:w="806" w:type="pct"/>
            <w:vAlign w:val="center"/>
          </w:tcPr>
          <w:p>
            <w:pPr>
              <w:jc w:val="center"/>
              <w:rPr>
                <w:szCs w:val="21"/>
              </w:rPr>
            </w:pPr>
            <w:r>
              <w:rPr>
                <w:rFonts w:hint="eastAsia"/>
                <w:szCs w:val="21"/>
              </w:rPr>
              <w:t xml:space="preserve">冬季上衣     </w:t>
            </w:r>
          </w:p>
          <w:p>
            <w:pPr>
              <w:jc w:val="center"/>
              <w:rPr>
                <w:szCs w:val="21"/>
              </w:rPr>
            </w:pPr>
            <w:r>
              <w:rPr>
                <w:rFonts w:hint="eastAsia"/>
                <w:szCs w:val="21"/>
              </w:rPr>
              <w:t>（含内胆）</w:t>
            </w:r>
          </w:p>
        </w:tc>
        <w:tc>
          <w:tcPr>
            <w:tcW w:w="293" w:type="pct"/>
          </w:tcPr>
          <w:p>
            <w:pPr>
              <w:rPr>
                <w:rFonts w:ascii="宋体" w:hAnsi="宋体" w:cs="宋体"/>
                <w:szCs w:val="21"/>
              </w:rPr>
            </w:pPr>
          </w:p>
        </w:tc>
        <w:tc>
          <w:tcPr>
            <w:tcW w:w="1830" w:type="pct"/>
            <w:vAlign w:val="center"/>
          </w:tcPr>
          <w:p>
            <w:pPr>
              <w:spacing w:line="0" w:lineRule="atLeast"/>
              <w:jc w:val="left"/>
              <w:rPr>
                <w:rFonts w:ascii="宋体" w:hAnsi="宋体" w:cs="宋体"/>
                <w:szCs w:val="21"/>
              </w:rPr>
            </w:pPr>
            <w:r>
              <w:rPr>
                <w:rFonts w:hint="eastAsia" w:ascii="宋体" w:hAnsi="宋体" w:cs="宋体"/>
                <w:szCs w:val="21"/>
              </w:rPr>
              <w:t>颜色：卡其色</w:t>
            </w:r>
          </w:p>
          <w:p>
            <w:pPr>
              <w:spacing w:line="0" w:lineRule="atLeast"/>
              <w:jc w:val="left"/>
              <w:rPr>
                <w:rFonts w:ascii="宋体" w:hAnsi="宋体" w:cs="宋体"/>
                <w:szCs w:val="21"/>
              </w:rPr>
            </w:pPr>
            <w:r>
              <w:rPr>
                <w:rFonts w:hint="eastAsia" w:ascii="宋体" w:hAnsi="宋体" w:cs="宋体"/>
                <w:szCs w:val="21"/>
              </w:rPr>
              <w:t>面料：CVC网格防静电厚斜纹线卡 ， 大化环纺精梳坯布，士林染色</w:t>
            </w:r>
          </w:p>
          <w:p>
            <w:pPr>
              <w:spacing w:line="0" w:lineRule="atLeast"/>
              <w:jc w:val="left"/>
              <w:rPr>
                <w:rFonts w:ascii="宋体" w:hAnsi="宋体" w:cs="宋体"/>
                <w:szCs w:val="21"/>
              </w:rPr>
            </w:pPr>
            <w:r>
              <w:rPr>
                <w:rFonts w:hint="eastAsia" w:ascii="宋体" w:hAnsi="宋体" w:cs="宋体"/>
                <w:szCs w:val="21"/>
              </w:rPr>
              <w:t>里料：正宗210S网格防静电绸</w:t>
            </w:r>
          </w:p>
          <w:p>
            <w:pPr>
              <w:spacing w:line="0" w:lineRule="atLeast"/>
              <w:jc w:val="left"/>
              <w:rPr>
                <w:rFonts w:ascii="宋体" w:hAnsi="宋体" w:cs="宋体"/>
                <w:szCs w:val="21"/>
              </w:rPr>
            </w:pPr>
            <w:r>
              <w:rPr>
                <w:rFonts w:hint="eastAsia" w:ascii="宋体" w:hAnsi="宋体" w:cs="宋体"/>
                <w:szCs w:val="21"/>
              </w:rPr>
              <w:t>填充物：新雪丽3M高效暖绒棉</w:t>
            </w:r>
          </w:p>
          <w:p>
            <w:pPr>
              <w:spacing w:line="0" w:lineRule="atLeast"/>
              <w:jc w:val="left"/>
              <w:rPr>
                <w:rFonts w:ascii="宋体" w:hAnsi="宋体" w:cs="宋体"/>
                <w:szCs w:val="21"/>
              </w:rPr>
            </w:pPr>
            <w:r>
              <w:rPr>
                <w:rFonts w:hint="eastAsia" w:ascii="宋体" w:hAnsi="宋体" w:cs="宋体"/>
                <w:szCs w:val="21"/>
              </w:rPr>
              <w:t>拉链：YKK拉链</w:t>
            </w:r>
          </w:p>
          <w:p>
            <w:pPr>
              <w:spacing w:line="0" w:lineRule="atLeast"/>
              <w:jc w:val="left"/>
              <w:rPr>
                <w:szCs w:val="21"/>
              </w:rPr>
            </w:pPr>
            <w:r>
              <w:rPr>
                <w:rFonts w:hint="eastAsia" w:ascii="宋体" w:hAnsi="宋体" w:cs="宋体"/>
                <w:szCs w:val="21"/>
              </w:rPr>
              <w:t>防静电标准：符合GB12014-2019国家新标准/点对点电阻（Ω）1*10^5—1*10^11。</w:t>
            </w:r>
          </w:p>
        </w:tc>
        <w:tc>
          <w:tcPr>
            <w:tcW w:w="293" w:type="pct"/>
            <w:vAlign w:val="center"/>
          </w:tcPr>
          <w:p>
            <w:pPr>
              <w:spacing w:line="0" w:lineRule="atLeast"/>
              <w:jc w:val="center"/>
              <w:rPr>
                <w:szCs w:val="21"/>
              </w:rPr>
            </w:pPr>
            <w:r>
              <w:rPr>
                <w:rFonts w:hint="eastAsia"/>
                <w:szCs w:val="21"/>
              </w:rPr>
              <w:t>件</w:t>
            </w:r>
          </w:p>
        </w:tc>
        <w:tc>
          <w:tcPr>
            <w:tcW w:w="293" w:type="pct"/>
            <w:vAlign w:val="center"/>
          </w:tcPr>
          <w:p>
            <w:pPr>
              <w:spacing w:line="0" w:lineRule="atLeast"/>
              <w:jc w:val="center"/>
              <w:rPr>
                <w:szCs w:val="21"/>
              </w:rPr>
            </w:pPr>
            <w:r>
              <w:rPr>
                <w:rFonts w:hint="eastAsia"/>
                <w:szCs w:val="21"/>
              </w:rPr>
              <w:t>80</w:t>
            </w:r>
          </w:p>
        </w:tc>
        <w:tc>
          <w:tcPr>
            <w:tcW w:w="513" w:type="pct"/>
          </w:tcPr>
          <w:p>
            <w:pPr>
              <w:spacing w:line="0" w:lineRule="atLeast"/>
              <w:rPr>
                <w:szCs w:val="21"/>
              </w:rPr>
            </w:pPr>
          </w:p>
        </w:tc>
        <w:tc>
          <w:tcPr>
            <w:tcW w:w="513" w:type="pct"/>
          </w:tcPr>
          <w:p>
            <w:pPr>
              <w:spacing w:line="0" w:lineRule="atLeast"/>
              <w:rPr>
                <w:szCs w:val="21"/>
              </w:rPr>
            </w:pPr>
          </w:p>
        </w:tc>
        <w:tc>
          <w:tcPr>
            <w:tcW w:w="292"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9" w:hRule="atLeast"/>
        </w:trPr>
        <w:tc>
          <w:tcPr>
            <w:tcW w:w="3096" w:type="pct"/>
            <w:gridSpan w:val="4"/>
            <w:vAlign w:val="center"/>
          </w:tcPr>
          <w:p>
            <w:pPr>
              <w:widowControl/>
              <w:spacing w:line="0" w:lineRule="atLeast"/>
              <w:jc w:val="left"/>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以上合计总价（大写）： </w:t>
            </w:r>
          </w:p>
        </w:tc>
        <w:tc>
          <w:tcPr>
            <w:tcW w:w="1904" w:type="pct"/>
            <w:gridSpan w:val="5"/>
            <w:vAlign w:val="center"/>
          </w:tcPr>
          <w:p>
            <w:pPr>
              <w:widowControl/>
              <w:spacing w:line="0" w:lineRule="atLeast"/>
              <w:jc w:val="left"/>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小写：</w:t>
            </w:r>
          </w:p>
        </w:tc>
      </w:tr>
    </w:tbl>
    <w:p>
      <w:pPr>
        <w:spacing w:line="600" w:lineRule="exact"/>
        <w:ind w:firstLine="643" w:firstLineChars="200"/>
        <w:jc w:val="center"/>
        <w:rPr>
          <w:rFonts w:ascii="方正仿宋简体" w:hAnsi="方正仿宋简体" w:eastAsia="方正仿宋简体" w:cs="方正仿宋简体"/>
          <w:b/>
          <w:sz w:val="32"/>
          <w:szCs w:val="32"/>
        </w:rPr>
      </w:pPr>
    </w:p>
    <w:p>
      <w:pPr>
        <w:spacing w:line="600" w:lineRule="exact"/>
        <w:ind w:firstLine="643" w:firstLineChars="200"/>
        <w:jc w:val="center"/>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江苏兴普船务有限公司</w:t>
      </w:r>
    </w:p>
    <w:tbl>
      <w:tblPr>
        <w:tblStyle w:val="12"/>
        <w:tblW w:w="5679" w:type="pct"/>
        <w:tblInd w:w="-6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gridCol w:w="1560"/>
        <w:gridCol w:w="567"/>
        <w:gridCol w:w="3543"/>
        <w:gridCol w:w="567"/>
        <w:gridCol w:w="567"/>
        <w:gridCol w:w="993"/>
        <w:gridCol w:w="993"/>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67"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序号</w:t>
            </w:r>
          </w:p>
        </w:tc>
        <w:tc>
          <w:tcPr>
            <w:tcW w:w="806"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标的名称</w:t>
            </w:r>
          </w:p>
        </w:tc>
        <w:tc>
          <w:tcPr>
            <w:tcW w:w="29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型号</w:t>
            </w:r>
          </w:p>
        </w:tc>
        <w:tc>
          <w:tcPr>
            <w:tcW w:w="1830"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规格</w:t>
            </w:r>
          </w:p>
        </w:tc>
        <w:tc>
          <w:tcPr>
            <w:tcW w:w="29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单位</w:t>
            </w:r>
          </w:p>
        </w:tc>
        <w:tc>
          <w:tcPr>
            <w:tcW w:w="29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数量</w:t>
            </w:r>
          </w:p>
        </w:tc>
        <w:tc>
          <w:tcPr>
            <w:tcW w:w="51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单价  （含税）</w:t>
            </w:r>
          </w:p>
        </w:tc>
        <w:tc>
          <w:tcPr>
            <w:tcW w:w="513"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总价   （含税）</w:t>
            </w:r>
          </w:p>
        </w:tc>
        <w:tc>
          <w:tcPr>
            <w:tcW w:w="292" w:type="pct"/>
            <w:vAlign w:val="center"/>
          </w:tcPr>
          <w:p>
            <w:pPr>
              <w:widowControl/>
              <w:spacing w:line="0" w:lineRule="atLeast"/>
              <w:jc w:val="center"/>
              <w:rPr>
                <w:rFonts w:ascii="方正仿宋简体" w:hAnsi="方正仿宋简体" w:eastAsia="方正仿宋简体" w:cs="方正仿宋简体"/>
                <w:szCs w:val="21"/>
              </w:rPr>
            </w:pPr>
            <w:r>
              <w:rPr>
                <w:rFonts w:hint="eastAsia" w:ascii="方正仿宋简体" w:hAnsi="方正仿宋简体" w:eastAsia="方正仿宋简体" w:cs="方正仿宋简体"/>
                <w:szCs w:val="21"/>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7" w:type="pct"/>
            <w:vAlign w:val="center"/>
          </w:tcPr>
          <w:p>
            <w:pPr>
              <w:jc w:val="center"/>
              <w:rPr>
                <w:rFonts w:ascii="宋体" w:hAnsi="宋体" w:cs="宋体"/>
                <w:color w:val="000000"/>
                <w:sz w:val="18"/>
                <w:szCs w:val="18"/>
              </w:rPr>
            </w:pPr>
            <w:r>
              <w:rPr>
                <w:rFonts w:hint="eastAsia" w:ascii="宋体" w:hAnsi="宋体" w:cs="宋体"/>
                <w:color w:val="000000"/>
                <w:sz w:val="18"/>
                <w:szCs w:val="18"/>
              </w:rPr>
              <w:t>1</w:t>
            </w:r>
          </w:p>
        </w:tc>
        <w:tc>
          <w:tcPr>
            <w:tcW w:w="806" w:type="pct"/>
            <w:vAlign w:val="center"/>
          </w:tcPr>
          <w:p>
            <w:pPr>
              <w:jc w:val="center"/>
              <w:rPr>
                <w:rFonts w:ascii="宋体" w:hAnsi="宋体" w:cs="宋体"/>
                <w:szCs w:val="21"/>
              </w:rPr>
            </w:pPr>
            <w:r>
              <w:rPr>
                <w:rFonts w:hint="eastAsia" w:ascii="宋体" w:hAnsi="宋体" w:cs="宋体"/>
                <w:szCs w:val="21"/>
              </w:rPr>
              <w:t>春秋装工作服</w:t>
            </w:r>
          </w:p>
        </w:tc>
        <w:tc>
          <w:tcPr>
            <w:tcW w:w="293" w:type="pct"/>
          </w:tcPr>
          <w:p>
            <w:pPr>
              <w:rPr>
                <w:rFonts w:ascii="宋体" w:hAnsi="宋体" w:cs="宋体"/>
                <w:sz w:val="28"/>
                <w:szCs w:val="36"/>
              </w:rPr>
            </w:pPr>
          </w:p>
        </w:tc>
        <w:tc>
          <w:tcPr>
            <w:tcW w:w="1830" w:type="pct"/>
            <w:vAlign w:val="center"/>
          </w:tcPr>
          <w:p>
            <w:pPr>
              <w:spacing w:line="0" w:lineRule="atLeast"/>
              <w:rPr>
                <w:rFonts w:ascii="宋体" w:hAnsi="宋体" w:cs="宋体"/>
                <w:szCs w:val="21"/>
              </w:rPr>
            </w:pPr>
            <w:r>
              <w:rPr>
                <w:rFonts w:hint="eastAsia" w:ascii="宋体" w:hAnsi="宋体" w:cs="宋体"/>
                <w:szCs w:val="21"/>
              </w:rPr>
              <w:t>颜色：卡其色</w:t>
            </w:r>
          </w:p>
          <w:p>
            <w:pPr>
              <w:spacing w:line="0" w:lineRule="atLeast"/>
              <w:rPr>
                <w:rFonts w:ascii="宋体" w:hAnsi="宋体" w:cs="宋体"/>
                <w:szCs w:val="21"/>
              </w:rPr>
            </w:pPr>
            <w:r>
              <w:rPr>
                <w:rFonts w:hint="eastAsia" w:ascii="宋体" w:hAnsi="宋体" w:cs="宋体"/>
                <w:szCs w:val="21"/>
              </w:rPr>
              <w:t>面料：CVC网格防静电厚斜纹线卡，大化环纺精梳坯布，士林染色</w:t>
            </w:r>
          </w:p>
          <w:p>
            <w:pPr>
              <w:spacing w:line="0" w:lineRule="atLeast"/>
              <w:rPr>
                <w:rFonts w:ascii="宋体" w:hAnsi="宋体" w:cs="宋体"/>
                <w:szCs w:val="21"/>
              </w:rPr>
            </w:pPr>
            <w:r>
              <w:rPr>
                <w:rFonts w:hint="eastAsia" w:ascii="宋体" w:hAnsi="宋体" w:cs="宋体"/>
                <w:szCs w:val="21"/>
              </w:rPr>
              <w:t>含棉：60%棉  40%涤</w:t>
            </w:r>
          </w:p>
          <w:p>
            <w:pPr>
              <w:spacing w:line="0" w:lineRule="atLeast"/>
              <w:rPr>
                <w:rFonts w:ascii="宋体" w:hAnsi="宋体" w:cs="宋体"/>
                <w:szCs w:val="21"/>
              </w:rPr>
            </w:pPr>
            <w:r>
              <w:rPr>
                <w:rFonts w:hint="eastAsia" w:ascii="宋体" w:hAnsi="宋体" w:cs="宋体"/>
                <w:szCs w:val="21"/>
              </w:rPr>
              <w:t>纱支：32/2*32/2双股</w:t>
            </w:r>
          </w:p>
          <w:p>
            <w:pPr>
              <w:spacing w:line="0" w:lineRule="atLeast"/>
              <w:rPr>
                <w:rFonts w:ascii="宋体" w:hAnsi="宋体" w:cs="宋体"/>
                <w:szCs w:val="21"/>
              </w:rPr>
            </w:pPr>
            <w:r>
              <w:rPr>
                <w:rFonts w:hint="eastAsia" w:ascii="宋体" w:hAnsi="宋体" w:cs="宋体"/>
                <w:szCs w:val="21"/>
              </w:rPr>
              <w:t>密度：100*53精梳</w:t>
            </w:r>
          </w:p>
          <w:p>
            <w:pPr>
              <w:spacing w:line="0" w:lineRule="atLeast"/>
              <w:rPr>
                <w:rFonts w:ascii="宋体" w:hAnsi="宋体" w:cs="宋体"/>
                <w:szCs w:val="21"/>
              </w:rPr>
            </w:pPr>
            <w:r>
              <w:rPr>
                <w:rFonts w:hint="eastAsia" w:ascii="宋体" w:hAnsi="宋体" w:cs="宋体"/>
                <w:szCs w:val="21"/>
              </w:rPr>
              <w:t>里料：正宗210S网格防静电绸</w:t>
            </w:r>
          </w:p>
          <w:p>
            <w:pPr>
              <w:spacing w:line="0" w:lineRule="atLeast"/>
              <w:rPr>
                <w:rFonts w:ascii="宋体" w:hAnsi="宋体" w:cs="宋体"/>
                <w:szCs w:val="21"/>
              </w:rPr>
            </w:pPr>
            <w:r>
              <w:rPr>
                <w:rFonts w:hint="eastAsia" w:ascii="宋体" w:hAnsi="宋体" w:cs="宋体"/>
                <w:szCs w:val="21"/>
              </w:rPr>
              <w:t>拉链：YKK拉链</w:t>
            </w:r>
          </w:p>
          <w:p>
            <w:pPr>
              <w:spacing w:line="0" w:lineRule="atLeast"/>
              <w:rPr>
                <w:szCs w:val="21"/>
              </w:rPr>
            </w:pPr>
            <w:r>
              <w:rPr>
                <w:rFonts w:hint="eastAsia" w:ascii="宋体" w:hAnsi="宋体" w:cs="宋体"/>
                <w:szCs w:val="21"/>
              </w:rPr>
              <w:t>防静电标准：符合GB12014-2019国家新标准/点对点电阻（Ω）1*10^5—1*10^11。</w:t>
            </w:r>
          </w:p>
        </w:tc>
        <w:tc>
          <w:tcPr>
            <w:tcW w:w="293" w:type="pct"/>
            <w:vAlign w:val="center"/>
          </w:tcPr>
          <w:p>
            <w:pPr>
              <w:spacing w:line="0" w:lineRule="atLeast"/>
              <w:jc w:val="center"/>
              <w:rPr>
                <w:szCs w:val="21"/>
              </w:rPr>
            </w:pPr>
            <w:r>
              <w:rPr>
                <w:rFonts w:hint="eastAsia"/>
                <w:szCs w:val="21"/>
              </w:rPr>
              <w:t>件</w:t>
            </w:r>
          </w:p>
        </w:tc>
        <w:tc>
          <w:tcPr>
            <w:tcW w:w="293" w:type="pct"/>
            <w:vAlign w:val="center"/>
          </w:tcPr>
          <w:p>
            <w:pPr>
              <w:spacing w:line="0" w:lineRule="atLeast"/>
              <w:jc w:val="center"/>
              <w:rPr>
                <w:szCs w:val="21"/>
              </w:rPr>
            </w:pPr>
            <w:r>
              <w:rPr>
                <w:rFonts w:hint="eastAsia"/>
                <w:szCs w:val="21"/>
              </w:rPr>
              <w:t>56</w:t>
            </w:r>
          </w:p>
        </w:tc>
        <w:tc>
          <w:tcPr>
            <w:tcW w:w="513" w:type="pct"/>
          </w:tcPr>
          <w:p>
            <w:pPr>
              <w:spacing w:line="0" w:lineRule="atLeast"/>
              <w:rPr>
                <w:szCs w:val="21"/>
              </w:rPr>
            </w:pPr>
          </w:p>
        </w:tc>
        <w:tc>
          <w:tcPr>
            <w:tcW w:w="513" w:type="pct"/>
          </w:tcPr>
          <w:p>
            <w:pPr>
              <w:spacing w:line="0" w:lineRule="atLeast"/>
              <w:rPr>
                <w:szCs w:val="21"/>
              </w:rPr>
            </w:pPr>
          </w:p>
        </w:tc>
        <w:tc>
          <w:tcPr>
            <w:tcW w:w="292"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67" w:type="pct"/>
            <w:vAlign w:val="center"/>
          </w:tcPr>
          <w:p>
            <w:pPr>
              <w:jc w:val="center"/>
              <w:rPr>
                <w:rFonts w:ascii="宋体" w:hAnsi="宋体" w:cs="宋体"/>
                <w:color w:val="000000"/>
                <w:sz w:val="18"/>
                <w:szCs w:val="18"/>
              </w:rPr>
            </w:pPr>
            <w:r>
              <w:rPr>
                <w:rFonts w:hint="eastAsia" w:ascii="宋体" w:hAnsi="宋体" w:cs="宋体"/>
                <w:color w:val="000000"/>
                <w:sz w:val="18"/>
                <w:szCs w:val="18"/>
              </w:rPr>
              <w:t>2</w:t>
            </w:r>
          </w:p>
        </w:tc>
        <w:tc>
          <w:tcPr>
            <w:tcW w:w="806" w:type="pct"/>
            <w:vAlign w:val="center"/>
          </w:tcPr>
          <w:p>
            <w:pPr>
              <w:jc w:val="center"/>
              <w:rPr>
                <w:szCs w:val="21"/>
              </w:rPr>
            </w:pPr>
            <w:r>
              <w:rPr>
                <w:rFonts w:hint="eastAsia" w:ascii="宋体" w:hAnsi="宋体" w:cs="宋体"/>
                <w:szCs w:val="21"/>
              </w:rPr>
              <w:t>春秋装工作裤</w:t>
            </w:r>
          </w:p>
        </w:tc>
        <w:tc>
          <w:tcPr>
            <w:tcW w:w="293" w:type="pct"/>
          </w:tcPr>
          <w:p>
            <w:pPr>
              <w:rPr>
                <w:rFonts w:ascii="宋体" w:hAnsi="宋体" w:cs="宋体"/>
                <w:szCs w:val="21"/>
              </w:rPr>
            </w:pPr>
          </w:p>
        </w:tc>
        <w:tc>
          <w:tcPr>
            <w:tcW w:w="1830" w:type="pct"/>
          </w:tcPr>
          <w:p>
            <w:pPr>
              <w:spacing w:line="0" w:lineRule="atLeast"/>
              <w:rPr>
                <w:rFonts w:ascii="宋体" w:hAnsi="宋体" w:cs="宋体"/>
                <w:szCs w:val="21"/>
              </w:rPr>
            </w:pPr>
            <w:r>
              <w:rPr>
                <w:rFonts w:hint="eastAsia" w:ascii="宋体" w:hAnsi="宋体" w:cs="宋体"/>
                <w:szCs w:val="21"/>
              </w:rPr>
              <w:t>颜色：卡其色</w:t>
            </w:r>
          </w:p>
          <w:p>
            <w:pPr>
              <w:spacing w:line="0" w:lineRule="atLeast"/>
              <w:rPr>
                <w:rFonts w:ascii="宋体" w:hAnsi="宋体" w:cs="宋体"/>
                <w:szCs w:val="21"/>
              </w:rPr>
            </w:pPr>
            <w:r>
              <w:rPr>
                <w:rFonts w:hint="eastAsia" w:ascii="宋体" w:hAnsi="宋体" w:cs="宋体"/>
                <w:szCs w:val="21"/>
              </w:rPr>
              <w:t>面料：CVC网格防静电厚斜纹线卡，大化环纺精梳坯布，士林染色</w:t>
            </w:r>
          </w:p>
          <w:p>
            <w:pPr>
              <w:spacing w:line="0" w:lineRule="atLeast"/>
              <w:rPr>
                <w:rFonts w:ascii="宋体" w:hAnsi="宋体" w:cs="宋体"/>
                <w:szCs w:val="21"/>
              </w:rPr>
            </w:pPr>
            <w:r>
              <w:rPr>
                <w:rFonts w:hint="eastAsia" w:ascii="宋体" w:hAnsi="宋体" w:cs="宋体"/>
                <w:szCs w:val="21"/>
              </w:rPr>
              <w:t>含棉：60%棉  40%涤</w:t>
            </w:r>
          </w:p>
          <w:p>
            <w:pPr>
              <w:spacing w:line="0" w:lineRule="atLeast"/>
              <w:rPr>
                <w:rFonts w:ascii="宋体" w:hAnsi="宋体" w:cs="宋体"/>
                <w:szCs w:val="21"/>
              </w:rPr>
            </w:pPr>
            <w:r>
              <w:rPr>
                <w:rFonts w:hint="eastAsia" w:ascii="宋体" w:hAnsi="宋体" w:cs="宋体"/>
                <w:szCs w:val="21"/>
              </w:rPr>
              <w:t>纱支：32/2*32/2双股</w:t>
            </w:r>
          </w:p>
          <w:p>
            <w:pPr>
              <w:spacing w:line="0" w:lineRule="atLeast"/>
              <w:rPr>
                <w:rFonts w:ascii="宋体" w:hAnsi="宋体" w:cs="宋体"/>
                <w:szCs w:val="21"/>
              </w:rPr>
            </w:pPr>
            <w:r>
              <w:rPr>
                <w:rFonts w:hint="eastAsia" w:ascii="宋体" w:hAnsi="宋体" w:cs="宋体"/>
                <w:szCs w:val="21"/>
              </w:rPr>
              <w:t>密度：100*53精梳</w:t>
            </w:r>
          </w:p>
          <w:p>
            <w:pPr>
              <w:spacing w:line="0" w:lineRule="atLeast"/>
              <w:rPr>
                <w:rFonts w:ascii="宋体" w:hAnsi="宋体" w:cs="宋体"/>
                <w:szCs w:val="21"/>
              </w:rPr>
            </w:pPr>
            <w:r>
              <w:rPr>
                <w:rFonts w:hint="eastAsia" w:ascii="宋体" w:hAnsi="宋体" w:cs="宋体"/>
                <w:szCs w:val="21"/>
              </w:rPr>
              <w:t>里料：正宗210S网格防静电绸</w:t>
            </w:r>
          </w:p>
          <w:p>
            <w:pPr>
              <w:spacing w:line="0" w:lineRule="atLeast"/>
              <w:rPr>
                <w:rFonts w:ascii="宋体" w:hAnsi="宋体" w:cs="宋体"/>
                <w:szCs w:val="21"/>
              </w:rPr>
            </w:pPr>
            <w:r>
              <w:rPr>
                <w:rFonts w:hint="eastAsia" w:ascii="宋体" w:hAnsi="宋体" w:cs="宋体"/>
                <w:szCs w:val="21"/>
              </w:rPr>
              <w:t>拉链：YKK拉链</w:t>
            </w:r>
          </w:p>
          <w:p>
            <w:pPr>
              <w:spacing w:line="0" w:lineRule="atLeast"/>
              <w:rPr>
                <w:rFonts w:ascii="宋体" w:hAnsi="宋体" w:cs="宋体"/>
                <w:szCs w:val="21"/>
              </w:rPr>
            </w:pPr>
            <w:r>
              <w:rPr>
                <w:rFonts w:hint="eastAsia" w:ascii="宋体" w:hAnsi="宋体" w:cs="宋体"/>
                <w:szCs w:val="21"/>
              </w:rPr>
              <w:t>防静电标准：符合GB12014-2019国家新标准/点对点电阻（Ω）1*10^5—1*10^11。</w:t>
            </w:r>
          </w:p>
        </w:tc>
        <w:tc>
          <w:tcPr>
            <w:tcW w:w="293" w:type="pct"/>
            <w:vAlign w:val="center"/>
          </w:tcPr>
          <w:p>
            <w:pPr>
              <w:spacing w:line="0" w:lineRule="atLeast"/>
              <w:jc w:val="center"/>
              <w:rPr>
                <w:szCs w:val="21"/>
              </w:rPr>
            </w:pPr>
            <w:r>
              <w:rPr>
                <w:rFonts w:hint="eastAsia"/>
                <w:szCs w:val="21"/>
              </w:rPr>
              <w:t>条</w:t>
            </w:r>
          </w:p>
        </w:tc>
        <w:tc>
          <w:tcPr>
            <w:tcW w:w="293" w:type="pct"/>
            <w:vAlign w:val="center"/>
          </w:tcPr>
          <w:p>
            <w:pPr>
              <w:spacing w:line="0" w:lineRule="atLeast"/>
              <w:jc w:val="center"/>
              <w:rPr>
                <w:szCs w:val="21"/>
              </w:rPr>
            </w:pPr>
            <w:r>
              <w:rPr>
                <w:rFonts w:hint="eastAsia"/>
                <w:szCs w:val="21"/>
              </w:rPr>
              <w:t>36</w:t>
            </w:r>
          </w:p>
        </w:tc>
        <w:tc>
          <w:tcPr>
            <w:tcW w:w="513" w:type="pct"/>
          </w:tcPr>
          <w:p>
            <w:pPr>
              <w:spacing w:line="0" w:lineRule="atLeast"/>
              <w:rPr>
                <w:szCs w:val="21"/>
              </w:rPr>
            </w:pPr>
          </w:p>
        </w:tc>
        <w:tc>
          <w:tcPr>
            <w:tcW w:w="513" w:type="pct"/>
          </w:tcPr>
          <w:p>
            <w:pPr>
              <w:spacing w:line="0" w:lineRule="atLeast"/>
              <w:rPr>
                <w:szCs w:val="21"/>
              </w:rPr>
            </w:pPr>
          </w:p>
        </w:tc>
        <w:tc>
          <w:tcPr>
            <w:tcW w:w="292"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67" w:type="pct"/>
            <w:vAlign w:val="center"/>
          </w:tcPr>
          <w:p>
            <w:pPr>
              <w:jc w:val="center"/>
              <w:rPr>
                <w:rFonts w:ascii="宋体" w:hAnsi="宋体" w:cs="宋体"/>
                <w:color w:val="000000"/>
                <w:sz w:val="18"/>
                <w:szCs w:val="18"/>
              </w:rPr>
            </w:pPr>
            <w:r>
              <w:rPr>
                <w:rFonts w:hint="eastAsia" w:ascii="宋体" w:hAnsi="宋体" w:cs="宋体"/>
                <w:color w:val="000000"/>
                <w:sz w:val="18"/>
                <w:szCs w:val="18"/>
              </w:rPr>
              <w:t>3</w:t>
            </w:r>
          </w:p>
        </w:tc>
        <w:tc>
          <w:tcPr>
            <w:tcW w:w="806" w:type="pct"/>
            <w:vAlign w:val="center"/>
          </w:tcPr>
          <w:p>
            <w:pPr>
              <w:jc w:val="center"/>
              <w:rPr>
                <w:szCs w:val="21"/>
              </w:rPr>
            </w:pPr>
            <w:r>
              <w:rPr>
                <w:rFonts w:hint="eastAsia"/>
                <w:szCs w:val="21"/>
              </w:rPr>
              <w:t xml:space="preserve">冬季上衣     </w:t>
            </w:r>
          </w:p>
          <w:p>
            <w:pPr>
              <w:jc w:val="center"/>
              <w:rPr>
                <w:szCs w:val="21"/>
              </w:rPr>
            </w:pPr>
            <w:r>
              <w:rPr>
                <w:rFonts w:hint="eastAsia"/>
                <w:szCs w:val="21"/>
              </w:rPr>
              <w:t>（含内胆）</w:t>
            </w:r>
          </w:p>
        </w:tc>
        <w:tc>
          <w:tcPr>
            <w:tcW w:w="293" w:type="pct"/>
          </w:tcPr>
          <w:p>
            <w:pPr>
              <w:rPr>
                <w:rFonts w:ascii="宋体" w:hAnsi="宋体" w:cs="宋体"/>
                <w:szCs w:val="21"/>
              </w:rPr>
            </w:pPr>
          </w:p>
        </w:tc>
        <w:tc>
          <w:tcPr>
            <w:tcW w:w="1830" w:type="pct"/>
            <w:vAlign w:val="center"/>
          </w:tcPr>
          <w:p>
            <w:pPr>
              <w:spacing w:line="0" w:lineRule="atLeast"/>
              <w:jc w:val="left"/>
              <w:rPr>
                <w:rFonts w:ascii="宋体" w:hAnsi="宋体" w:cs="宋体"/>
                <w:szCs w:val="21"/>
              </w:rPr>
            </w:pPr>
            <w:r>
              <w:rPr>
                <w:rFonts w:hint="eastAsia" w:ascii="宋体" w:hAnsi="宋体" w:cs="宋体"/>
                <w:szCs w:val="21"/>
              </w:rPr>
              <w:t>颜色：卡其色</w:t>
            </w:r>
          </w:p>
          <w:p>
            <w:pPr>
              <w:spacing w:line="0" w:lineRule="atLeast"/>
              <w:jc w:val="left"/>
              <w:rPr>
                <w:rFonts w:ascii="宋体" w:hAnsi="宋体" w:cs="宋体"/>
                <w:szCs w:val="21"/>
              </w:rPr>
            </w:pPr>
            <w:r>
              <w:rPr>
                <w:rFonts w:hint="eastAsia" w:ascii="宋体" w:hAnsi="宋体" w:cs="宋体"/>
                <w:szCs w:val="21"/>
              </w:rPr>
              <w:t>面料：CVC网格防静电厚斜纹线卡 ， 大化环纺精梳坯布，士林染色</w:t>
            </w:r>
          </w:p>
          <w:p>
            <w:pPr>
              <w:spacing w:line="0" w:lineRule="atLeast"/>
              <w:jc w:val="left"/>
              <w:rPr>
                <w:rFonts w:ascii="宋体" w:hAnsi="宋体" w:cs="宋体"/>
                <w:szCs w:val="21"/>
              </w:rPr>
            </w:pPr>
            <w:r>
              <w:rPr>
                <w:rFonts w:hint="eastAsia" w:ascii="宋体" w:hAnsi="宋体" w:cs="宋体"/>
                <w:szCs w:val="21"/>
              </w:rPr>
              <w:t>里料：正宗210S网格防静电绸</w:t>
            </w:r>
          </w:p>
          <w:p>
            <w:pPr>
              <w:spacing w:line="0" w:lineRule="atLeast"/>
              <w:jc w:val="left"/>
              <w:rPr>
                <w:rFonts w:ascii="宋体" w:hAnsi="宋体" w:cs="宋体"/>
                <w:szCs w:val="21"/>
              </w:rPr>
            </w:pPr>
            <w:r>
              <w:rPr>
                <w:rFonts w:hint="eastAsia" w:ascii="宋体" w:hAnsi="宋体" w:cs="宋体"/>
                <w:szCs w:val="21"/>
              </w:rPr>
              <w:t>填充物：新雪丽3M高效暖绒棉</w:t>
            </w:r>
          </w:p>
          <w:p>
            <w:pPr>
              <w:spacing w:line="0" w:lineRule="atLeast"/>
              <w:jc w:val="left"/>
              <w:rPr>
                <w:rFonts w:ascii="宋体" w:hAnsi="宋体" w:cs="宋体"/>
                <w:szCs w:val="21"/>
              </w:rPr>
            </w:pPr>
            <w:r>
              <w:rPr>
                <w:rFonts w:hint="eastAsia" w:ascii="宋体" w:hAnsi="宋体" w:cs="宋体"/>
                <w:szCs w:val="21"/>
              </w:rPr>
              <w:t>拉链：YKK拉链</w:t>
            </w:r>
          </w:p>
          <w:p>
            <w:pPr>
              <w:spacing w:line="0" w:lineRule="atLeast"/>
              <w:jc w:val="left"/>
              <w:rPr>
                <w:szCs w:val="21"/>
              </w:rPr>
            </w:pPr>
            <w:r>
              <w:rPr>
                <w:rFonts w:hint="eastAsia" w:ascii="宋体" w:hAnsi="宋体" w:cs="宋体"/>
                <w:szCs w:val="21"/>
              </w:rPr>
              <w:t>防静电标准：符合GB12014-2019国家新标准/点对点电阻（Ω）1*10^5—1*10^11。</w:t>
            </w:r>
          </w:p>
        </w:tc>
        <w:tc>
          <w:tcPr>
            <w:tcW w:w="293" w:type="pct"/>
            <w:vAlign w:val="center"/>
          </w:tcPr>
          <w:p>
            <w:pPr>
              <w:spacing w:line="0" w:lineRule="atLeast"/>
              <w:jc w:val="center"/>
              <w:rPr>
                <w:szCs w:val="21"/>
              </w:rPr>
            </w:pPr>
            <w:r>
              <w:rPr>
                <w:rFonts w:hint="eastAsia"/>
                <w:szCs w:val="21"/>
              </w:rPr>
              <w:t>件</w:t>
            </w:r>
          </w:p>
        </w:tc>
        <w:tc>
          <w:tcPr>
            <w:tcW w:w="293" w:type="pct"/>
            <w:vAlign w:val="center"/>
          </w:tcPr>
          <w:p>
            <w:pPr>
              <w:spacing w:line="0" w:lineRule="atLeast"/>
              <w:jc w:val="center"/>
              <w:rPr>
                <w:szCs w:val="21"/>
              </w:rPr>
            </w:pPr>
            <w:r>
              <w:rPr>
                <w:rFonts w:hint="eastAsia"/>
                <w:szCs w:val="21"/>
              </w:rPr>
              <w:t>27</w:t>
            </w:r>
          </w:p>
        </w:tc>
        <w:tc>
          <w:tcPr>
            <w:tcW w:w="513" w:type="pct"/>
          </w:tcPr>
          <w:p>
            <w:pPr>
              <w:spacing w:line="0" w:lineRule="atLeast"/>
              <w:rPr>
                <w:szCs w:val="21"/>
              </w:rPr>
            </w:pPr>
          </w:p>
        </w:tc>
        <w:tc>
          <w:tcPr>
            <w:tcW w:w="513" w:type="pct"/>
          </w:tcPr>
          <w:p>
            <w:pPr>
              <w:spacing w:line="0" w:lineRule="atLeast"/>
              <w:rPr>
                <w:szCs w:val="21"/>
              </w:rPr>
            </w:pPr>
          </w:p>
        </w:tc>
        <w:tc>
          <w:tcPr>
            <w:tcW w:w="292" w:type="pct"/>
            <w:vAlign w:val="center"/>
          </w:tcPr>
          <w:p>
            <w:pPr>
              <w:spacing w:line="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3096" w:type="pct"/>
            <w:gridSpan w:val="4"/>
            <w:vAlign w:val="center"/>
          </w:tcPr>
          <w:p>
            <w:pPr>
              <w:widowControl/>
              <w:spacing w:line="0" w:lineRule="atLeast"/>
              <w:jc w:val="left"/>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以上合计总价（大写）： </w:t>
            </w:r>
          </w:p>
        </w:tc>
        <w:tc>
          <w:tcPr>
            <w:tcW w:w="1904" w:type="pct"/>
            <w:gridSpan w:val="5"/>
            <w:vAlign w:val="center"/>
          </w:tcPr>
          <w:p>
            <w:pPr>
              <w:widowControl/>
              <w:spacing w:line="0" w:lineRule="atLeast"/>
              <w:jc w:val="left"/>
              <w:rPr>
                <w:rFonts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小写：</w:t>
            </w:r>
          </w:p>
        </w:tc>
      </w:tr>
    </w:tbl>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1.在满足招标人使用要求前提下，以报价格式</w:t>
      </w:r>
      <w:r>
        <w:rPr>
          <w:rFonts w:hint="eastAsia" w:ascii="方正仿宋简体" w:hAnsi="方正仿宋简体" w:eastAsia="方正仿宋简体" w:cs="方正仿宋简体"/>
          <w:color w:val="FF0000"/>
          <w:sz w:val="32"/>
          <w:szCs w:val="32"/>
        </w:rPr>
        <w:t>总价</w:t>
      </w:r>
      <w:r>
        <w:rPr>
          <w:rFonts w:hint="eastAsia" w:ascii="方正仿宋简体" w:hAnsi="方正仿宋简体" w:eastAsia="方正仿宋简体" w:cs="方正仿宋简体"/>
          <w:sz w:val="32"/>
          <w:szCs w:val="32"/>
        </w:rPr>
        <w:t>作为总投标价，总投标价只为确定中标单位作依据。</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2.按报价格式进行填报，每格均需填报，无报价以斜线、横线或0填满。</w:t>
      </w:r>
    </w:p>
    <w:p>
      <w:pPr>
        <w:pStyle w:val="4"/>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kern w:val="1"/>
          <w:sz w:val="32"/>
          <w:szCs w:val="32"/>
        </w:rPr>
        <w:t>三.交货时间：</w:t>
      </w:r>
      <w:r>
        <w:rPr>
          <w:rFonts w:hint="eastAsia" w:ascii="方正仿宋简体" w:hAnsi="方正仿宋简体" w:eastAsia="方正仿宋简体" w:cs="方正仿宋简体"/>
          <w:kern w:val="1"/>
          <w:sz w:val="32"/>
          <w:szCs w:val="32"/>
          <w:u w:val="single"/>
        </w:rPr>
        <w:t xml:space="preserve">               </w:t>
      </w:r>
    </w:p>
    <w:p>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四.我方承诺遵守招标文件中的全部规定；</w:t>
      </w:r>
    </w:p>
    <w:p>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五.我方承诺中标后双方签订合同,并承担合同规定的责任义务；</w:t>
      </w:r>
    </w:p>
    <w:p>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sz w:val="32"/>
          <w:szCs w:val="32"/>
          <w:shd w:val="clear" w:color="auto" w:fill="FFFFFF"/>
        </w:rPr>
        <w:t>六.我方已详细审查全部招标文件，包括招标文件的补充文件（如有）。我方完全理解并同意放弃对这方面有不明及误解的权力，同时完全接受招标文件所有条款。如果招标文件有相互矛盾之处，我方同意按招标方的解释处理；</w:t>
      </w:r>
    </w:p>
    <w:p>
      <w:pPr>
        <w:spacing w:line="600" w:lineRule="exact"/>
        <w:ind w:firstLine="640" w:firstLineChars="200"/>
        <w:jc w:val="left"/>
        <w:rPr>
          <w:rFonts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bCs/>
          <w:kern w:val="1"/>
          <w:sz w:val="32"/>
          <w:szCs w:val="32"/>
        </w:rPr>
        <w:t>七.愿意向贵方提供任何与该项投标有关的数据、情况和技术资料，</w:t>
      </w:r>
      <w:r>
        <w:rPr>
          <w:rFonts w:hint="eastAsia" w:ascii="方正仿宋简体" w:hAnsi="方正仿宋简体" w:eastAsia="方正仿宋简体" w:cs="方正仿宋简体"/>
          <w:sz w:val="32"/>
          <w:szCs w:val="32"/>
          <w:shd w:val="clear" w:color="auto" w:fill="FFFFFF"/>
        </w:rPr>
        <w:t>完全理解贵方不一定接受最低价的报价或收到的任何报价。</w:t>
      </w:r>
    </w:p>
    <w:p>
      <w:pPr>
        <w:pStyle w:val="4"/>
        <w:spacing w:after="0" w:line="600" w:lineRule="exact"/>
        <w:ind w:firstLine="640" w:firstLineChars="200"/>
        <w:rPr>
          <w:rFonts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Cs/>
          <w:color w:val="000000"/>
          <w:kern w:val="1"/>
          <w:sz w:val="32"/>
          <w:szCs w:val="32"/>
        </w:rPr>
        <w:t>八.投标单位其他说明情况：</w:t>
      </w:r>
      <w:r>
        <w:rPr>
          <w:rFonts w:hint="eastAsia" w:ascii="方正仿宋简体" w:hAnsi="方正仿宋简体" w:eastAsia="方正仿宋简体" w:cs="方正仿宋简体"/>
          <w:color w:val="000000"/>
          <w:kern w:val="1"/>
          <w:sz w:val="32"/>
          <w:szCs w:val="32"/>
          <w:u w:val="single"/>
        </w:rPr>
        <w:t xml:space="preserve">               </w:t>
      </w:r>
    </w:p>
    <w:p>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全权代表（签字）：</w:t>
      </w:r>
    </w:p>
    <w:p>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投标单位（盖章）：</w:t>
      </w:r>
    </w:p>
    <w:p>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pPr>
        <w:spacing w:line="600" w:lineRule="exact"/>
        <w:jc w:val="left"/>
        <w:rPr>
          <w:rFonts w:ascii="方正仿宋简体" w:hAnsi="方正仿宋简体" w:eastAsia="方正仿宋简体" w:cs="方正仿宋简体"/>
          <w:kern w:val="1"/>
          <w:sz w:val="32"/>
          <w:szCs w:val="32"/>
        </w:rPr>
      </w:pPr>
    </w:p>
    <w:p>
      <w:pPr>
        <w:spacing w:line="600" w:lineRule="exact"/>
        <w:jc w:val="left"/>
        <w:rPr>
          <w:rFonts w:ascii="方正仿宋简体" w:hAnsi="方正仿宋简体" w:eastAsia="方正仿宋简体" w:cs="方正仿宋简体"/>
          <w:kern w:val="1"/>
          <w:sz w:val="32"/>
          <w:szCs w:val="32"/>
        </w:rPr>
      </w:pPr>
    </w:p>
    <w:p>
      <w:pPr>
        <w:spacing w:line="600" w:lineRule="exact"/>
        <w:jc w:val="left"/>
        <w:rPr>
          <w:rFonts w:ascii="方正仿宋简体" w:hAnsi="方正仿宋简体" w:eastAsia="方正仿宋简体" w:cs="方正仿宋简体"/>
          <w:kern w:val="1"/>
          <w:sz w:val="32"/>
          <w:szCs w:val="32"/>
        </w:rPr>
      </w:pPr>
    </w:p>
    <w:p>
      <w:pPr>
        <w:spacing w:line="600" w:lineRule="exact"/>
        <w:jc w:val="left"/>
        <w:rPr>
          <w:rFonts w:ascii="方正仿宋简体" w:hAnsi="方正仿宋简体" w:eastAsia="方正仿宋简体" w:cs="方正仿宋简体"/>
          <w:kern w:val="1"/>
          <w:sz w:val="32"/>
          <w:szCs w:val="32"/>
        </w:rPr>
      </w:pPr>
    </w:p>
    <w:p>
      <w:pPr>
        <w:pStyle w:val="10"/>
        <w:adjustRightInd w:val="0"/>
        <w:snapToGrid w:val="0"/>
        <w:spacing w:before="0" w:after="0" w:line="600" w:lineRule="exact"/>
        <w:jc w:val="left"/>
        <w:rPr>
          <w:rFonts w:ascii="方正仿宋简体" w:hAnsi="方正仿宋简体" w:eastAsia="方正仿宋简体" w:cs="方正仿宋简体"/>
          <w:kern w:val="1"/>
        </w:rPr>
      </w:pPr>
    </w:p>
    <w:p>
      <w:pPr>
        <w:pStyle w:val="10"/>
        <w:adjustRightInd w:val="0"/>
        <w:snapToGrid w:val="0"/>
        <w:spacing w:before="0" w:after="0" w:line="600" w:lineRule="exact"/>
        <w:jc w:val="left"/>
        <w:rPr>
          <w:rFonts w:ascii="方正仿宋简体" w:hAnsi="方正仿宋简体" w:eastAsia="方正仿宋简体" w:cs="方正仿宋简体"/>
          <w:kern w:val="1"/>
        </w:rPr>
      </w:pPr>
    </w:p>
    <w:p>
      <w:pPr>
        <w:pStyle w:val="10"/>
        <w:adjustRightInd w:val="0"/>
        <w:snapToGrid w:val="0"/>
        <w:spacing w:before="0" w:after="0" w:line="600" w:lineRule="exact"/>
        <w:jc w:val="left"/>
        <w:rPr>
          <w:rFonts w:ascii="方正仿宋简体" w:hAnsi="方正仿宋简体" w:eastAsia="方正仿宋简体" w:cs="方正仿宋简体"/>
          <w:kern w:val="1"/>
        </w:rPr>
      </w:pPr>
    </w:p>
    <w:p>
      <w:pPr>
        <w:pStyle w:val="10"/>
        <w:adjustRightInd w:val="0"/>
        <w:snapToGrid w:val="0"/>
        <w:spacing w:before="0" w:after="0" w:line="600" w:lineRule="exact"/>
        <w:jc w:val="left"/>
        <w:rPr>
          <w:rFonts w:ascii="方正仿宋简体" w:hAnsi="方正仿宋简体" w:eastAsia="方正仿宋简体" w:cs="方正仿宋简体"/>
          <w:kern w:val="1"/>
        </w:rPr>
      </w:pPr>
    </w:p>
    <w:p>
      <w:pPr>
        <w:pStyle w:val="10"/>
        <w:adjustRightInd w:val="0"/>
        <w:snapToGrid w:val="0"/>
        <w:spacing w:before="0" w:after="0" w:line="600" w:lineRule="exact"/>
        <w:jc w:val="left"/>
        <w:rPr>
          <w:rFonts w:ascii="方正黑体_GBK" w:hAnsi="方正黑体_GBK" w:eastAsia="方正黑体_GBK" w:cs="方正黑体_GBK"/>
          <w:b w:val="0"/>
        </w:rPr>
      </w:pPr>
      <w:r>
        <w:rPr>
          <w:rFonts w:hint="eastAsia" w:ascii="方正仿宋简体" w:hAnsi="方正仿宋简体" w:eastAsia="方正仿宋简体" w:cs="方正仿宋简体"/>
          <w:kern w:val="1"/>
        </w:rPr>
        <w:t>附件1</w:t>
      </w:r>
    </w:p>
    <w:p>
      <w:pPr>
        <w:pStyle w:val="10"/>
        <w:adjustRightInd w:val="0"/>
        <w:snapToGrid w:val="0"/>
        <w:spacing w:before="0" w:after="0" w:line="600" w:lineRule="exact"/>
        <w:rPr>
          <w:rFonts w:ascii="黑体" w:hAnsi="黑体" w:eastAsia="黑体"/>
          <w:b w:val="0"/>
          <w:sz w:val="34"/>
          <w:szCs w:val="34"/>
        </w:rPr>
      </w:pPr>
      <w:r>
        <w:rPr>
          <w:rFonts w:hint="eastAsia" w:ascii="方正黑体_GBK" w:hAnsi="方正黑体_GBK" w:eastAsia="方正黑体_GBK" w:cs="方正黑体_GBK"/>
          <w:b w:val="0"/>
        </w:rPr>
        <w:t xml:space="preserve"> 供应商管理</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凡按国家标准及相关准则或规定组织生产销售的原辅材料、备品备件、劳保用品等物资供应商以及运输服务商，只要资质证照齐全且满足我司招标要求，均视为我司合格供应商，参与我司组织的招投标、比价采购等商务活动。</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供应商负面清单管理</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管理职责</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1.使用部门：负责提供技术参数或提出服务要求，对采购物资或服务的质量进行验收。</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2.采购部门：负责通过线上或线下途径不断开发有能力满足公司所需物资或服务的供应商，对目标供应商所提供的材料完整性、交货期、价格等维度作为筛选的依据进行资格初审，收集供应商资料并建立档案。</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3.监管部门：负责对采购流程的合规性进行监督。</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风险控制部负责归口公司招投标负面清单，具体工作由海纳川各部室及直属单位共同承担。</w:t>
      </w:r>
    </w:p>
    <w:p>
      <w:pPr>
        <w:tabs>
          <w:tab w:val="left" w:pos="2565"/>
        </w:tabs>
        <w:spacing w:line="600" w:lineRule="exact"/>
        <w:rPr>
          <w:rFonts w:ascii="方正仿宋简体" w:hAnsi="方正仿宋简体" w:eastAsia="方正仿宋简体" w:cs="方正仿宋简体"/>
          <w:sz w:val="32"/>
          <w:szCs w:val="32"/>
        </w:rPr>
      </w:pPr>
    </w:p>
    <w:p>
      <w:pPr>
        <w:tabs>
          <w:tab w:val="left" w:pos="2565"/>
        </w:tabs>
        <w:spacing w:line="600" w:lineRule="exact"/>
        <w:rPr>
          <w:rFonts w:ascii="方正仿宋简体" w:hAnsi="方正仿宋简体" w:eastAsia="方正仿宋简体" w:cs="方正仿宋简体"/>
          <w:sz w:val="32"/>
          <w:szCs w:val="32"/>
        </w:rPr>
      </w:pPr>
    </w:p>
    <w:p>
      <w:pPr>
        <w:tabs>
          <w:tab w:val="left" w:pos="2565"/>
        </w:tabs>
        <w:spacing w:line="600" w:lineRule="exact"/>
        <w:rPr>
          <w:rFonts w:ascii="方正仿宋简体" w:hAnsi="方正仿宋简体" w:eastAsia="方正仿宋简体" w:cs="方正仿宋简体"/>
          <w:sz w:val="32"/>
          <w:szCs w:val="32"/>
        </w:rPr>
      </w:pPr>
    </w:p>
    <w:p>
      <w:pPr>
        <w:pStyle w:val="4"/>
      </w:pPr>
    </w:p>
    <w:p>
      <w:pPr>
        <w:tabs>
          <w:tab w:val="left" w:pos="2565"/>
        </w:tabs>
        <w:spacing w:line="600" w:lineRule="exact"/>
        <w:rPr>
          <w:rFonts w:ascii="方正仿宋简体" w:hAnsi="方正仿宋简体" w:eastAsia="方正仿宋简体" w:cs="方正仿宋简体"/>
          <w:sz w:val="32"/>
          <w:szCs w:val="32"/>
        </w:rPr>
      </w:pPr>
    </w:p>
    <w:p>
      <w:pPr>
        <w:tabs>
          <w:tab w:val="left" w:pos="2565"/>
        </w:tabs>
        <w:spacing w:line="600" w:lineRule="exact"/>
        <w:rPr>
          <w:rFonts w:ascii="方正仿宋简体" w:hAnsi="方正仿宋简体" w:eastAsia="方正仿宋简体" w:cs="方正仿宋简体"/>
          <w:sz w:val="32"/>
          <w:szCs w:val="32"/>
        </w:rPr>
      </w:pPr>
    </w:p>
    <w:p>
      <w:pPr>
        <w:numPr>
          <w:ilvl w:val="0"/>
          <w:numId w:val="2"/>
        </w:numPr>
        <w:tabs>
          <w:tab w:val="left" w:pos="2565"/>
        </w:tabs>
        <w:spacing w:line="600" w:lineRule="exact"/>
        <w:ind w:firstLine="420" w:firstLineChars="200"/>
        <w:rPr>
          <w:rFonts w:ascii="方正仿宋简体" w:hAnsi="方正仿宋简体" w:eastAsia="方正仿宋简体" w:cs="方正仿宋简体"/>
          <w:sz w:val="32"/>
          <w:szCs w:val="32"/>
        </w:rPr>
      </w:pPr>
      <w:r>
        <w:drawing>
          <wp:anchor distT="0" distB="0" distL="114300" distR="114300" simplePos="0" relativeHeight="251659264" behindDoc="0" locked="0" layoutInCell="1" allowOverlap="1">
            <wp:simplePos x="0" y="0"/>
            <wp:positionH relativeFrom="column">
              <wp:posOffset>-616585</wp:posOffset>
            </wp:positionH>
            <wp:positionV relativeFrom="page">
              <wp:posOffset>1332230</wp:posOffset>
            </wp:positionV>
            <wp:extent cx="6446520" cy="8431530"/>
            <wp:effectExtent l="0" t="0" r="11430" b="762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stretch>
                      <a:fillRect/>
                    </a:stretch>
                  </pic:blipFill>
                  <pic:spPr>
                    <a:xfrm>
                      <a:off x="0" y="0"/>
                      <a:ext cx="6446520" cy="8431530"/>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rPr>
        <w:t>负面清单确定流程</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供应商积分管理</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供应商积分考核</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合作供应商初始积分为40分，从供应商的供货质量、交货周期、售后服务、资质信誉等方面进行考核。使用部门、管理部门、采购部门均可书面提出考核建议。风险控制部组织相关参与评标部门根据本规定对供应商进行考核并建立供应商考核情况登记表（见附件3），根据扣分情况分为继续合作、限制合作及列入负面清单三种情形。考核记分周期为1年，自被考核当日起计满1年后，考核分自动清零。</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1.继续合作供应商：考核扣分介于0～7分之间，为可继续合作的供应商。</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2.限制合作供应商：考核扣分介于8～16分之间，为限制合作供应商。原辅材料采购3个月内、备品备件采购6个月内不接受该供应商投标或报价。 </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3.列入负面清单供应商：考核扣分高于16分或单项扣10分，列入负面清单供应商，1年内不接受该供应商投标或报价。</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（二）</w:t>
      </w:r>
      <w:r>
        <w:rPr>
          <w:rFonts w:hint="eastAsia" w:ascii="方正仿宋简体" w:hAnsi="方正仿宋简体" w:eastAsia="方正仿宋简体" w:cs="方正仿宋简体"/>
          <w:sz w:val="32"/>
          <w:szCs w:val="32"/>
        </w:rPr>
        <w:t>供应商考核方法</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b/>
          <w:sz w:val="32"/>
          <w:szCs w:val="32"/>
        </w:rPr>
        <w:t>建筑施工方</w:t>
      </w:r>
    </w:p>
    <w:p>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pPr>
        <w:tabs>
          <w:tab w:val="left" w:pos="2565"/>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sz w:val="32"/>
          <w:szCs w:val="32"/>
        </w:rPr>
        <w:t>①</w:t>
      </w:r>
      <w:r>
        <w:rPr>
          <w:rFonts w:hint="eastAsia" w:ascii="方正仿宋简体" w:hAnsi="方正仿宋简体" w:eastAsia="方正仿宋简体" w:cs="方正仿宋简体"/>
          <w:bCs/>
          <w:sz w:val="32"/>
          <w:szCs w:val="32"/>
        </w:rPr>
        <w:t>施工材料出现质量问题，及时调换，未影响生产的，单次扣1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②施工材料存在质量问题，未能及时更换，单次扣10分。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③不能满足工程质量要求的，考核5-10分。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（2）工期方面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不能满足进度要求的，考核5-10分。</w:t>
      </w:r>
    </w:p>
    <w:p>
      <w:pPr>
        <w:spacing w:line="600" w:lineRule="exact"/>
        <w:ind w:firstLine="640" w:firstLineChars="200"/>
        <w:rPr>
          <w:rFonts w:ascii="方正楷体_GBK" w:hAnsi="方正楷体_GBK" w:eastAsia="方正楷体_GBK" w:cs="方正楷体_GBK"/>
          <w:bCs/>
          <w:sz w:val="32"/>
          <w:szCs w:val="32"/>
        </w:rPr>
      </w:pPr>
      <w:r>
        <w:rPr>
          <w:rFonts w:hint="eastAsia" w:ascii="方正仿宋简体" w:hAnsi="方正仿宋简体" w:eastAsia="方正仿宋简体" w:cs="方正仿宋简体"/>
          <w:bCs/>
          <w:sz w:val="32"/>
          <w:szCs w:val="32"/>
        </w:rPr>
        <w:t>（3）安全方面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现场施工人员不服从招标方安全管理的，考核5-10分。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（4）售后方面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pPr>
        <w:spacing w:line="600" w:lineRule="exact"/>
        <w:ind w:left="560"/>
        <w:rPr>
          <w:rFonts w:ascii="方正楷体_GBK" w:hAnsi="方正楷体_GBK" w:eastAsia="方正楷体_GBK" w:cs="方正楷体_GBK"/>
          <w:bCs/>
          <w:sz w:val="32"/>
          <w:szCs w:val="32"/>
        </w:rPr>
      </w:pPr>
      <w:r>
        <w:rPr>
          <w:rFonts w:hint="eastAsia" w:ascii="方正仿宋简体" w:hAnsi="方正仿宋简体" w:eastAsia="方正仿宋简体" w:cs="方正仿宋简体"/>
          <w:sz w:val="32"/>
          <w:szCs w:val="32"/>
        </w:rPr>
        <w:t>（5）</w:t>
      </w:r>
      <w:r>
        <w:rPr>
          <w:rFonts w:hint="eastAsia" w:ascii="方正仿宋简体" w:hAnsi="方正仿宋简体" w:eastAsia="方正仿宋简体" w:cs="方正仿宋简体"/>
          <w:bCs/>
          <w:sz w:val="32"/>
          <w:szCs w:val="32"/>
        </w:rPr>
        <w:t>资信方面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2.备品备件供应商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（1）质量方面</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②所供产品存在质量问题，未能及时更换，单次扣10分。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（2）交货方面</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①交货时无质检报告或合格证等必要资料的，单次扣2分。</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②交货时未按规定包装的，单次扣1分。</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（3）售后方面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（4）资信方面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3.物流承运商</w:t>
      </w:r>
    </w:p>
    <w:p>
      <w:pPr>
        <w:tabs>
          <w:tab w:val="left" w:pos="851"/>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（1）车船要求方面</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5分。</w:t>
      </w:r>
    </w:p>
    <w:p>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2分。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（2）计划完成方面</w:t>
      </w:r>
    </w:p>
    <w:p>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运输单位须按发货计划安排车船完成运输任务，否则单次扣2分。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（3）资信方面</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②不及时开具发票并送交至业务员，单次扣1分。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ascii="方正仿宋简体" w:hAnsi="方正仿宋简体" w:eastAsia="方正仿宋简体" w:cs="方正仿宋简体"/>
          <w:bCs/>
          <w:sz w:val="32"/>
          <w:szCs w:val="32"/>
          <w:highlight w:val="yellow"/>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3" w:firstLineChars="200"/>
        <w:rPr>
          <w:rFonts w:ascii="黑体" w:hAnsi="黑体" w:eastAsia="黑体" w:cs="仿宋"/>
          <w:b/>
          <w:bCs/>
          <w:sz w:val="34"/>
          <w:szCs w:val="34"/>
        </w:rPr>
      </w:pPr>
      <w:r>
        <w:rPr>
          <w:rFonts w:hint="eastAsia" w:ascii="方正仿宋简体" w:hAnsi="方正仿宋简体" w:eastAsia="方正仿宋简体" w:cs="方正仿宋简体"/>
          <w:b/>
          <w:bCs/>
          <w:sz w:val="32"/>
          <w:szCs w:val="32"/>
        </w:rPr>
        <w:t>从负面清单中消除的流程</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采购部门牵头组织相关部门对供应商提供的文件材料进行确认，必要时组织现场考察；</w:t>
      </w:r>
    </w:p>
    <w:p>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pPr>
        <w:pStyle w:val="4"/>
      </w:pPr>
    </w:p>
    <w:p>
      <w:pPr>
        <w:spacing w:line="600" w:lineRule="exact"/>
        <w:ind w:firstLine="675"/>
        <w:rPr>
          <w:rFonts w:ascii="方正仿宋简体" w:hAnsi="方正仿宋简体" w:eastAsia="方正仿宋简体" w:cs="方正仿宋简体"/>
          <w:sz w:val="32"/>
          <w:szCs w:val="32"/>
        </w:rPr>
      </w:pPr>
    </w:p>
    <w:p>
      <w:pPr>
        <w:spacing w:line="600" w:lineRule="exact"/>
        <w:ind w:firstLine="675"/>
        <w:rPr>
          <w:rFonts w:ascii="方正仿宋简体" w:hAnsi="方正仿宋简体" w:eastAsia="方正仿宋简体" w:cs="方正仿宋简体"/>
          <w:sz w:val="32"/>
          <w:szCs w:val="32"/>
        </w:rPr>
      </w:pPr>
    </w:p>
    <w:p>
      <w:pPr>
        <w:spacing w:line="600" w:lineRule="exact"/>
        <w:ind w:firstLine="675"/>
        <w:rPr>
          <w:rFonts w:ascii="方正仿宋简体" w:hAnsi="方正仿宋简体" w:eastAsia="方正仿宋简体" w:cs="方正仿宋简体"/>
          <w:sz w:val="32"/>
          <w:szCs w:val="32"/>
        </w:rPr>
      </w:pPr>
    </w:p>
    <w:p>
      <w:pPr>
        <w:spacing w:line="600" w:lineRule="exact"/>
        <w:ind w:firstLine="675"/>
        <w:rPr>
          <w:rFonts w:ascii="方正仿宋简体" w:hAnsi="方正仿宋简体" w:eastAsia="方正仿宋简体" w:cs="方正仿宋简体"/>
          <w:sz w:val="32"/>
          <w:szCs w:val="32"/>
        </w:rPr>
      </w:pPr>
    </w:p>
    <w:p>
      <w:pPr>
        <w:pStyle w:val="4"/>
      </w:pPr>
    </w:p>
    <w:p>
      <w:pPr>
        <w:pStyle w:val="5"/>
      </w:pPr>
    </w:p>
    <w:p>
      <w:pPr>
        <w:pStyle w:val="5"/>
      </w:pPr>
    </w:p>
    <w:p>
      <w:pPr>
        <w:pStyle w:val="5"/>
      </w:pPr>
    </w:p>
    <w:p>
      <w:pPr>
        <w:pStyle w:val="5"/>
      </w:pPr>
    </w:p>
    <w:p>
      <w:pPr>
        <w:pStyle w:val="5"/>
      </w:pPr>
    </w:p>
    <w:p>
      <w:pPr>
        <w:pStyle w:val="5"/>
      </w:pPr>
    </w:p>
    <w:p>
      <w:pPr>
        <w:pStyle w:val="10"/>
        <w:adjustRightInd w:val="0"/>
        <w:snapToGrid w:val="0"/>
        <w:spacing w:before="0" w:after="0" w:line="600" w:lineRule="exact"/>
        <w:jc w:val="left"/>
        <w:rPr>
          <w:rFonts w:ascii="方正仿宋简体" w:hAnsi="方正仿宋简体" w:eastAsia="方正仿宋简体" w:cs="方正仿宋简体"/>
          <w:color w:val="000000"/>
        </w:rPr>
      </w:pPr>
      <w:r>
        <w:rPr>
          <w:rFonts w:hint="eastAsia" w:ascii="方正仿宋简体" w:hAnsi="方正仿宋简体" w:eastAsia="方正仿宋简体" w:cs="方正仿宋简体"/>
          <w:kern w:val="1"/>
        </w:rPr>
        <w:t>附件2：</w:t>
      </w:r>
      <w:r>
        <w:rPr>
          <w:rFonts w:ascii="方正仿宋简体" w:hAnsi="方正仿宋简体" w:eastAsia="方正仿宋简体" w:cs="方正仿宋简体"/>
          <w:color w:val="000000"/>
        </w:rPr>
        <w:t xml:space="preserve"> </w:t>
      </w:r>
    </w:p>
    <w:p>
      <w:pPr>
        <w:spacing w:line="600" w:lineRule="exact"/>
        <w:ind w:firstLine="883" w:firstLineChars="200"/>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产品买卖合同</w:t>
      </w:r>
    </w:p>
    <w:p>
      <w:pPr>
        <w:spacing w:line="600" w:lineRule="exact"/>
        <w:ind w:firstLine="640" w:firstLineChars="200"/>
        <w:jc w:val="left"/>
        <w:rPr>
          <w:rFonts w:ascii="方正仿宋简体" w:hAnsi="方正仿宋简体" w:eastAsia="方正仿宋简体" w:cs="方正仿宋简体"/>
          <w:sz w:val="32"/>
          <w:szCs w:val="32"/>
        </w:rPr>
      </w:pP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卖方：    </w:t>
      </w:r>
      <w:r>
        <w:rPr>
          <w:rFonts w:hint="eastAsia" w:ascii="仿宋_GB2312" w:hAnsi="仿宋_GB2312" w:eastAsia="仿宋_GB2312" w:cs="仿宋_GB2312"/>
          <w:sz w:val="28"/>
          <w:szCs w:val="28"/>
        </w:rPr>
        <w:t xml:space="preserve"> （以下简称“甲方”）</w:t>
      </w:r>
      <w:r>
        <w:rPr>
          <w:rFonts w:hint="eastAsia" w:ascii="方正仿宋简体" w:hAnsi="方正仿宋简体" w:eastAsia="方正仿宋简体" w:cs="方正仿宋简体"/>
          <w:sz w:val="32"/>
          <w:szCs w:val="32"/>
        </w:rPr>
        <w:t xml:space="preserve">                    　　  </w:t>
      </w:r>
    </w:p>
    <w:p>
      <w:pPr>
        <w:spacing w:line="600" w:lineRule="exact"/>
        <w:ind w:left="319" w:leftChars="152" w:firstLine="320" w:firstLineChars="1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买方：     </w:t>
      </w:r>
      <w:r>
        <w:rPr>
          <w:rFonts w:hint="eastAsia" w:ascii="仿宋_GB2312" w:hAnsi="仿宋_GB2312" w:eastAsia="仿宋_GB2312" w:cs="仿宋_GB2312"/>
          <w:sz w:val="28"/>
          <w:szCs w:val="28"/>
        </w:rPr>
        <w:t>（以下简称“乙方”）</w:t>
      </w:r>
    </w:p>
    <w:p>
      <w:pPr>
        <w:spacing w:line="600" w:lineRule="exact"/>
        <w:ind w:left="319" w:leftChars="152" w:firstLine="1120" w:firstLineChars="35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镇江海纳川物流产业发展有限责任公司或子公司（江苏兴普物贸有限公司、镇江海纳川公铁运输有限公司）</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签订地点：江苏省镇江市京口区</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签订时间：****年*月*日           　　 </w:t>
      </w:r>
    </w:p>
    <w:p>
      <w:pPr>
        <w:spacing w:line="600" w:lineRule="exact"/>
        <w:ind w:firstLine="640" w:firstLineChars="200"/>
        <w:jc w:val="left"/>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第一条 标的、数量、单价及交（提）货时间 </w:t>
      </w:r>
      <w:r>
        <w:rPr>
          <w:rFonts w:hint="eastAsia" w:ascii="方正仿宋简体" w:hAnsi="方正仿宋简体" w:eastAsia="方正仿宋简体" w:cs="方正仿宋简体"/>
          <w:sz w:val="32"/>
          <w:szCs w:val="32"/>
        </w:rPr>
        <w:t xml:space="preserve">  </w:t>
      </w:r>
      <w:r>
        <w:rPr>
          <w:rFonts w:hint="eastAsia" w:ascii="方正仿宋简体" w:hAnsi="方正仿宋简体" w:eastAsia="方正仿宋简体" w:cs="方正仿宋简体"/>
          <w:b/>
          <w:bCs/>
          <w:sz w:val="32"/>
          <w:szCs w:val="32"/>
        </w:rPr>
        <w:t xml:space="preserve">    </w:t>
      </w:r>
      <w:r>
        <w:rPr>
          <w:rFonts w:hint="eastAsia" w:ascii="方正小标宋简体" w:hAnsi="方正小标宋简体" w:eastAsia="方正小标宋简体" w:cs="方正小标宋简体"/>
          <w:kern w:val="1"/>
          <w:sz w:val="24"/>
          <w:szCs w:val="24"/>
        </w:rPr>
        <w:t xml:space="preserve">         　　</w:t>
      </w:r>
    </w:p>
    <w:tbl>
      <w:tblPr>
        <w:tblStyle w:val="12"/>
        <w:tblpPr w:leftFromText="180" w:rightFromText="180" w:vertAnchor="text" w:horzAnchor="margin" w:tblpX="-245" w:tblpY="214"/>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701"/>
        <w:gridCol w:w="2269"/>
        <w:gridCol w:w="855"/>
        <w:gridCol w:w="703"/>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4"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序号</w:t>
            </w:r>
          </w:p>
        </w:tc>
        <w:tc>
          <w:tcPr>
            <w:tcW w:w="1417"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标的名称</w:t>
            </w:r>
          </w:p>
        </w:tc>
        <w:tc>
          <w:tcPr>
            <w:tcW w:w="1701"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型号</w:t>
            </w:r>
          </w:p>
        </w:tc>
        <w:tc>
          <w:tcPr>
            <w:tcW w:w="2269"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规格</w:t>
            </w:r>
          </w:p>
        </w:tc>
        <w:tc>
          <w:tcPr>
            <w:tcW w:w="855"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单位</w:t>
            </w:r>
          </w:p>
        </w:tc>
        <w:tc>
          <w:tcPr>
            <w:tcW w:w="703"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数量</w:t>
            </w:r>
          </w:p>
        </w:tc>
        <w:tc>
          <w:tcPr>
            <w:tcW w:w="1134"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单价  （含税）</w:t>
            </w:r>
          </w:p>
        </w:tc>
        <w:tc>
          <w:tcPr>
            <w:tcW w:w="1276" w:type="dxa"/>
            <w:vAlign w:val="center"/>
          </w:tcPr>
          <w:p>
            <w:pPr>
              <w:widowControl/>
              <w:jc w:val="center"/>
              <w:rPr>
                <w:rFonts w:ascii="仿宋" w:hAnsi="仿宋" w:eastAsia="仿宋" w:cs="仿宋"/>
                <w:sz w:val="24"/>
                <w:szCs w:val="24"/>
              </w:rPr>
            </w:pPr>
            <w:r>
              <w:rPr>
                <w:rFonts w:hint="eastAsia" w:ascii="仿宋" w:hAnsi="仿宋" w:eastAsia="仿宋" w:cs="仿宋"/>
                <w:sz w:val="24"/>
                <w:szCs w:val="24"/>
              </w:rPr>
              <w:t>总价    （含税）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34" w:type="dxa"/>
            <w:vAlign w:val="center"/>
          </w:tcPr>
          <w:p>
            <w:pPr>
              <w:spacing w:line="360" w:lineRule="auto"/>
              <w:jc w:val="center"/>
              <w:rPr>
                <w:rFonts w:ascii="宋体" w:hAnsi="宋体" w:cs="宋体"/>
                <w:color w:val="000000"/>
                <w:szCs w:val="21"/>
              </w:rPr>
            </w:pPr>
          </w:p>
        </w:tc>
        <w:tc>
          <w:tcPr>
            <w:tcW w:w="1417" w:type="dxa"/>
            <w:vAlign w:val="center"/>
          </w:tcPr>
          <w:p>
            <w:pPr>
              <w:spacing w:line="0" w:lineRule="atLeast"/>
              <w:jc w:val="left"/>
              <w:rPr>
                <w:rFonts w:ascii="宋体" w:hAnsi="宋体" w:cs="宋体"/>
                <w:color w:val="000000"/>
                <w:szCs w:val="21"/>
              </w:rPr>
            </w:pPr>
          </w:p>
        </w:tc>
        <w:tc>
          <w:tcPr>
            <w:tcW w:w="1701" w:type="dxa"/>
            <w:vAlign w:val="center"/>
          </w:tcPr>
          <w:p>
            <w:pPr>
              <w:spacing w:line="0" w:lineRule="atLeast"/>
              <w:jc w:val="left"/>
              <w:rPr>
                <w:rFonts w:ascii="宋体" w:hAnsi="宋体" w:cs="宋体"/>
                <w:color w:val="000000"/>
                <w:szCs w:val="21"/>
              </w:rPr>
            </w:pPr>
          </w:p>
        </w:tc>
        <w:tc>
          <w:tcPr>
            <w:tcW w:w="2269" w:type="dxa"/>
            <w:vAlign w:val="center"/>
          </w:tcPr>
          <w:p>
            <w:pPr>
              <w:spacing w:line="0" w:lineRule="atLeast"/>
              <w:ind w:left="525" w:hanging="525" w:hangingChars="250"/>
              <w:jc w:val="left"/>
              <w:rPr>
                <w:rFonts w:ascii="宋体" w:hAnsi="宋体" w:cs="宋体"/>
                <w:color w:val="000000"/>
                <w:szCs w:val="21"/>
              </w:rPr>
            </w:pPr>
          </w:p>
        </w:tc>
        <w:tc>
          <w:tcPr>
            <w:tcW w:w="855" w:type="dxa"/>
            <w:vAlign w:val="center"/>
          </w:tcPr>
          <w:p>
            <w:pPr>
              <w:spacing w:line="360" w:lineRule="auto"/>
              <w:jc w:val="center"/>
              <w:rPr>
                <w:rFonts w:ascii="宋体" w:hAnsi="宋体" w:cs="宋体"/>
                <w:color w:val="000000"/>
                <w:szCs w:val="21"/>
              </w:rPr>
            </w:pPr>
          </w:p>
        </w:tc>
        <w:tc>
          <w:tcPr>
            <w:tcW w:w="703" w:type="dxa"/>
            <w:vAlign w:val="center"/>
          </w:tcPr>
          <w:p>
            <w:pPr>
              <w:spacing w:line="360" w:lineRule="auto"/>
              <w:jc w:val="center"/>
              <w:rPr>
                <w:rFonts w:ascii="宋体" w:hAnsi="宋体" w:cs="宋体"/>
                <w:color w:val="000000"/>
                <w:szCs w:val="21"/>
              </w:rPr>
            </w:pPr>
          </w:p>
        </w:tc>
        <w:tc>
          <w:tcPr>
            <w:tcW w:w="1134" w:type="dxa"/>
            <w:vAlign w:val="center"/>
          </w:tcPr>
          <w:p>
            <w:pPr>
              <w:widowControl/>
              <w:jc w:val="center"/>
              <w:rPr>
                <w:rFonts w:ascii="仿宋" w:hAnsi="仿宋" w:eastAsia="仿宋" w:cs="仿宋"/>
                <w:sz w:val="24"/>
                <w:szCs w:val="24"/>
              </w:rPr>
            </w:pPr>
          </w:p>
        </w:tc>
        <w:tc>
          <w:tcPr>
            <w:tcW w:w="1276" w:type="dxa"/>
            <w:vAlign w:val="center"/>
          </w:tcPr>
          <w:p>
            <w:pPr>
              <w:widowControl/>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5921" w:type="dxa"/>
            <w:gridSpan w:val="4"/>
            <w:vAlign w:val="center"/>
          </w:tcPr>
          <w:p>
            <w:pPr>
              <w:widowControl/>
              <w:jc w:val="left"/>
              <w:rPr>
                <w:rFonts w:ascii="仿宋" w:hAnsi="仿宋" w:eastAsia="仿宋" w:cs="仿宋"/>
                <w:sz w:val="24"/>
                <w:szCs w:val="24"/>
              </w:rPr>
            </w:pPr>
            <w:r>
              <w:rPr>
                <w:rFonts w:hint="eastAsia" w:ascii="仿宋" w:hAnsi="仿宋" w:eastAsia="仿宋" w:cs="仿宋"/>
                <w:sz w:val="24"/>
                <w:szCs w:val="24"/>
              </w:rPr>
              <w:t>以上合计总价（大写）：</w:t>
            </w:r>
          </w:p>
        </w:tc>
        <w:tc>
          <w:tcPr>
            <w:tcW w:w="3968" w:type="dxa"/>
            <w:gridSpan w:val="4"/>
            <w:vAlign w:val="center"/>
          </w:tcPr>
          <w:p>
            <w:pPr>
              <w:widowControl/>
              <w:jc w:val="left"/>
              <w:rPr>
                <w:rFonts w:ascii="仿宋" w:hAnsi="仿宋" w:eastAsia="仿宋" w:cs="仿宋"/>
                <w:sz w:val="24"/>
                <w:szCs w:val="24"/>
              </w:rPr>
            </w:pPr>
            <w:r>
              <w:rPr>
                <w:rFonts w:hint="eastAsia" w:ascii="仿宋" w:hAnsi="仿宋" w:eastAsia="仿宋" w:cs="仿宋"/>
                <w:sz w:val="24"/>
                <w:szCs w:val="24"/>
              </w:rPr>
              <w:t>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5921" w:type="dxa"/>
            <w:gridSpan w:val="4"/>
            <w:vAlign w:val="center"/>
          </w:tcPr>
          <w:p>
            <w:pPr>
              <w:widowControl/>
              <w:jc w:val="left"/>
              <w:rPr>
                <w:rFonts w:ascii="仿宋" w:hAnsi="仿宋" w:eastAsia="仿宋" w:cs="仿宋"/>
                <w:sz w:val="24"/>
                <w:szCs w:val="24"/>
              </w:rPr>
            </w:pPr>
            <w:r>
              <w:rPr>
                <w:rFonts w:hint="eastAsia" w:ascii="仿宋" w:hAnsi="仿宋" w:eastAsia="仿宋" w:cs="仿宋"/>
                <w:sz w:val="24"/>
                <w:szCs w:val="24"/>
              </w:rPr>
              <w:t>税率： %</w:t>
            </w:r>
          </w:p>
        </w:tc>
        <w:tc>
          <w:tcPr>
            <w:tcW w:w="3968" w:type="dxa"/>
            <w:gridSpan w:val="4"/>
            <w:vAlign w:val="center"/>
          </w:tcPr>
          <w:p>
            <w:pPr>
              <w:widowControl/>
              <w:jc w:val="left"/>
              <w:rPr>
                <w:rFonts w:ascii="仿宋" w:hAnsi="仿宋" w:eastAsia="仿宋" w:cs="仿宋"/>
                <w:sz w:val="24"/>
                <w:szCs w:val="24"/>
              </w:rPr>
            </w:pPr>
            <w:r>
              <w:rPr>
                <w:rFonts w:hint="eastAsia" w:ascii="仿宋" w:hAnsi="仿宋" w:eastAsia="仿宋" w:cs="仿宋"/>
                <w:sz w:val="24"/>
                <w:szCs w:val="24"/>
              </w:rPr>
              <w:t>到货期：合同签订生效后  天</w:t>
            </w:r>
          </w:p>
        </w:tc>
      </w:tr>
    </w:tbl>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第二条 质量要求及技术标准</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甲方保证提供满足相关国家标准或行业标准要求的合格产品，所提供产品质量标准应该满足招标文件中规定的质量，规格，型号等</w:t>
      </w:r>
      <w:r>
        <w:rPr>
          <w:rFonts w:hint="eastAsia" w:ascii="方正仿宋简体" w:hAnsi="方正仿宋简体" w:eastAsia="方正仿宋简体" w:cs="方正仿宋简体"/>
          <w:kern w:val="1"/>
          <w:sz w:val="32"/>
          <w:szCs w:val="32"/>
        </w:rPr>
        <w:t>技术</w:t>
      </w:r>
      <w:r>
        <w:rPr>
          <w:rFonts w:hint="eastAsia" w:ascii="方正仿宋简体" w:hAnsi="方正仿宋简体" w:eastAsia="方正仿宋简体" w:cs="方正仿宋简体"/>
          <w:sz w:val="32"/>
          <w:szCs w:val="32"/>
        </w:rPr>
        <w:t>要求，</w:t>
      </w:r>
      <w:r>
        <w:rPr>
          <w:rFonts w:hint="eastAsia" w:ascii="方正仿宋简体" w:hAnsi="方正仿宋简体" w:eastAsia="方正仿宋简体" w:cs="方正仿宋简体"/>
          <w:kern w:val="1"/>
          <w:sz w:val="32"/>
          <w:szCs w:val="32"/>
        </w:rPr>
        <w:t>并且符合安全规范要求和技术标准,</w:t>
      </w:r>
      <w:r>
        <w:rPr>
          <w:rFonts w:hint="eastAsia" w:ascii="方正仿宋简体" w:hAnsi="方正仿宋简体" w:eastAsia="方正仿宋简体" w:cs="方正仿宋简体"/>
          <w:sz w:val="32"/>
          <w:szCs w:val="32"/>
        </w:rPr>
        <w:t>质保期1年。</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第三条 甲方对质量负责的条件及期限</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根据《中华人民共和国产品质量法》、《中华人民共和国消费者权益保护法》实行“三包”即：包修、包换、包退，如果出现质量问题，未能满足乙方对产品的质量要求，乙方有权退回或者调换，产生的费用和损失由甲方承担。</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第四条 合理损耗标准及计算方法</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无损耗</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第五条 交（提）货方式、地点及费用承担</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甲方负责送货至乙方指定地点，运费由甲方承担。</w:t>
      </w:r>
    </w:p>
    <w:p>
      <w:pPr>
        <w:spacing w:line="600" w:lineRule="exact"/>
        <w:ind w:firstLine="640" w:firstLineChars="200"/>
        <w:rPr>
          <w:rFonts w:ascii="方正仿宋简体" w:hAnsi="方正仿宋简体" w:eastAsia="方正仿宋简体" w:cs="方正仿宋简体"/>
          <w:b/>
          <w:bCs/>
          <w:sz w:val="32"/>
          <w:szCs w:val="32"/>
        </w:rPr>
      </w:pPr>
      <w:r>
        <w:rPr>
          <w:rFonts w:hint="eastAsia" w:ascii="方正黑体_GBK" w:hAnsi="方正黑体_GBK" w:eastAsia="方正黑体_GBK" w:cs="方正黑体_GBK"/>
          <w:sz w:val="32"/>
          <w:szCs w:val="32"/>
        </w:rPr>
        <w:t>第六条  检验标准、方法、地点及期限</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根据甲方提供的货物使用一段时间没问题验收。</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第七条  结算方式及时间</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乙方自收到标的物验收合格并且收到甲方开具的13%增值税发票后</w:t>
      </w:r>
      <w:r>
        <w:rPr>
          <w:rFonts w:hint="eastAsia" w:ascii="方正仿宋简体" w:hAnsi="方正仿宋简体" w:eastAsia="方正仿宋简体" w:cs="方正仿宋简体"/>
          <w:b/>
          <w:sz w:val="32"/>
          <w:szCs w:val="32"/>
        </w:rPr>
        <w:t>60日内以银行承兑</w:t>
      </w:r>
      <w:r>
        <w:rPr>
          <w:rFonts w:hint="eastAsia" w:ascii="方正仿宋简体" w:hAnsi="方正仿宋简体" w:eastAsia="方正仿宋简体" w:cs="方正仿宋简体"/>
          <w:sz w:val="32"/>
          <w:szCs w:val="32"/>
        </w:rPr>
        <w:t>方式付款。合同期内如国家税率进行调整，按以下公式调整价格：新税率价格＝合同含税价格÷（1+合同约定税率）×（1+国家规定的新税率）。</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第八条  违约责任</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w:t>
      </w:r>
      <w:r>
        <w:rPr>
          <w:rFonts w:hint="eastAsia" w:ascii="方正仿宋简体" w:hAnsi="方正仿宋简体" w:eastAsia="方正仿宋简体" w:cs="方正仿宋简体"/>
          <w:bCs/>
          <w:kern w:val="1"/>
          <w:sz w:val="30"/>
          <w:szCs w:val="30"/>
        </w:rPr>
        <w:t>如甲方没有按照规定的时间交货或提供服务，甲方将支付违约金，违约金应从货款中扣除，迟交货物或未提供服务的违约金逾期每日应按合同总金额的1%计收。但迟交货物或未提供服务超过20日，乙方有权解除合同,要求甲方五个工作日内返还乙方合同货款并按合同总额20%追究甲方违约责任</w:t>
      </w:r>
      <w:r>
        <w:rPr>
          <w:rFonts w:hint="eastAsia" w:ascii="方正仿宋简体" w:hAnsi="方正仿宋简体" w:eastAsia="方正仿宋简体" w:cs="方正仿宋简体"/>
          <w:bCs/>
          <w:kern w:val="1"/>
          <w:sz w:val="32"/>
          <w:szCs w:val="32"/>
        </w:rPr>
        <w:t>。</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2.甲方交货后，如果货物经检验不合格的，乙方可选择以下处理方式：</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乙方选择换货的，换货所产生的费用由甲方承担。经乙方同意甲方换货的，需在乙方第一次验收不合格之日起30日内供货，逾期供货的，违约责任参照第1款执行。如果出现两次经检验不合格的情况，乙方有权解除合同，甲方需在检验不合格之日起五个工作日内返还乙方合同货款，并赔偿合同总货款的20%违约金给乙方，乙方在甲方返还货款之前，有权质押货物，质押期间如产生仓储费，该仓储费由甲方承担。</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乙方选择解除合同的，退货所产生的费用由甲方承担。甲方需在检验不合格之日起五个工作日内返还乙方合同货款，并赔偿合同总货款的20%违约金给乙方，乙方在甲方返还货款之前，有权质押货物，质押期间如产生仓储费，仓储费由甲方承担。</w:t>
      </w:r>
    </w:p>
    <w:p>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3.因甲方的产品质量、逾期交货等原因给乙方造成直接和间接经济损失的，由甲方承担。</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第九条 合同争议解决方式</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本合同项下发生的争议，双方应协商解决，协商解决不成的，可向合同签订地人民法院起诉。败诉方应承担胜诉方因此支付的一切费用（包括但不限于诉讼费、仲裁费、律师费、执行费、评估费、拍卖费、代偿款、赔偿款等。）</w:t>
      </w:r>
    </w:p>
    <w:p>
      <w:pPr>
        <w:spacing w:line="60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第十条 其它约定事项</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1.本合同一式</w:t>
      </w:r>
      <w:r>
        <w:rPr>
          <w:rFonts w:hint="eastAsia"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份，甲方执</w:t>
      </w:r>
      <w:r>
        <w:rPr>
          <w:rFonts w:hint="eastAsia"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份，乙方执</w:t>
      </w:r>
      <w:r>
        <w:rPr>
          <w:rFonts w:hint="eastAsia" w:ascii="方正仿宋简体" w:hAnsi="方正仿宋简体" w:eastAsia="方正仿宋简体" w:cs="方正仿宋简体"/>
          <w:sz w:val="32"/>
          <w:szCs w:val="32"/>
          <w:u w:val="single"/>
        </w:rPr>
        <w:t xml:space="preserve">   </w:t>
      </w:r>
      <w:r>
        <w:rPr>
          <w:rFonts w:hint="eastAsia" w:ascii="方正仿宋简体" w:hAnsi="方正仿宋简体" w:eastAsia="方正仿宋简体" w:cs="方正仿宋简体"/>
          <w:sz w:val="32"/>
          <w:szCs w:val="32"/>
        </w:rPr>
        <w:t>份，自双方签字盖章之日起生效。</w:t>
      </w:r>
    </w:p>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2.其他未尽事宜，双方协商解决，并签订补充协议。</w:t>
      </w:r>
    </w:p>
    <w:p>
      <w:pPr>
        <w:pStyle w:val="3"/>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凡因发生严重的地震、洪水、海啸、台风等自然灾害，或战争、动乱、罢工等其他不能预见、不能避免且无法克服的不可抗力事件，致使任何一方全部或部分不能履行本合同的，遭受上述不可抗力事件的一方，应立即以口头和书面方式通知对方，并（应在三十日内）提供不可抗力的详情以及政府部门出具的相关证明文件，由此免除该方的违约责任。</w:t>
      </w:r>
    </w:p>
    <w:p/>
    <w:tbl>
      <w:tblPr>
        <w:tblStyle w:val="12"/>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9" w:hRule="atLeast"/>
        </w:trPr>
        <w:tc>
          <w:tcPr>
            <w:tcW w:w="3686" w:type="dxa"/>
          </w:tcPr>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甲方（盖章）：</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法定代表人：</w:t>
            </w:r>
          </w:p>
          <w:p>
            <w:pPr>
              <w:spacing w:line="0" w:lineRule="atLeast"/>
              <w:rPr>
                <w:rFonts w:ascii="仿宋_GB2312" w:hAnsi="宋体" w:eastAsia="仿宋_GB2312"/>
                <w:sz w:val="28"/>
                <w:szCs w:val="28"/>
              </w:rPr>
            </w:pPr>
            <w:r>
              <w:rPr>
                <w:rFonts w:hint="eastAsia" w:ascii="仿宋_GB2312" w:hAnsi="宋体" w:eastAsia="仿宋_GB2312"/>
                <w:sz w:val="28"/>
                <w:szCs w:val="28"/>
              </w:rPr>
              <w:t>业务经办人：</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电话：</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账号：</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w:t>
            </w:r>
          </w:p>
          <w:p>
            <w:pPr>
              <w:spacing w:line="0" w:lineRule="atLeast"/>
              <w:rPr>
                <w:rFonts w:ascii="仿宋_GB2312" w:hAnsi="宋体" w:eastAsia="仿宋_GB2312"/>
                <w:sz w:val="28"/>
                <w:szCs w:val="28"/>
              </w:rPr>
            </w:pPr>
            <w:r>
              <w:rPr>
                <w:rFonts w:hint="eastAsia" w:ascii="仿宋_GB2312" w:hAnsi="宋体" w:eastAsia="仿宋_GB2312"/>
                <w:sz w:val="28"/>
                <w:szCs w:val="28"/>
              </w:rPr>
              <w:t>签订日期：   年   月  日</w:t>
            </w:r>
          </w:p>
        </w:tc>
        <w:tc>
          <w:tcPr>
            <w:tcW w:w="5954" w:type="dxa"/>
          </w:tcPr>
          <w:p>
            <w:pPr>
              <w:spacing w:line="0" w:lineRule="atLeast"/>
              <w:rPr>
                <w:rFonts w:ascii="仿宋_GB2312" w:hAnsi="宋体" w:eastAsia="仿宋_GB2312"/>
                <w:sz w:val="28"/>
                <w:szCs w:val="28"/>
              </w:rPr>
            </w:pPr>
            <w:r>
              <w:rPr>
                <w:rFonts w:hint="eastAsia" w:ascii="仿宋_GB2312" w:hAnsi="宋体" w:eastAsia="仿宋_GB2312"/>
                <w:sz w:val="28"/>
                <w:szCs w:val="28"/>
              </w:rPr>
              <w:t>乙方（盖章）：</w:t>
            </w:r>
            <w:r>
              <w:rPr>
                <w:rFonts w:hint="eastAsia" w:ascii="方正仿宋简体" w:hAnsi="方正仿宋简体" w:eastAsia="方正仿宋简体" w:cs="方正仿宋简体"/>
                <w:sz w:val="28"/>
                <w:szCs w:val="28"/>
              </w:rPr>
              <w:t>镇江海纳川物流产业发展有限责任公司</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w:t>
            </w:r>
            <w:r>
              <w:rPr>
                <w:rFonts w:hint="eastAsia" w:ascii="方正仿宋简体" w:hAnsi="方正仿宋简体" w:eastAsia="方正仿宋简体" w:cs="方正仿宋简体"/>
                <w:sz w:val="28"/>
                <w:szCs w:val="28"/>
              </w:rPr>
              <w:t>镇江市谏壁镇越河街50号</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法定代表人： </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业务经办人： </w:t>
            </w:r>
          </w:p>
          <w:p>
            <w:pPr>
              <w:spacing w:line="0" w:lineRule="atLeast"/>
              <w:rPr>
                <w:rFonts w:ascii="仿宋_GB2312" w:hAnsi="宋体" w:eastAsia="仿宋_GB2312"/>
                <w:sz w:val="28"/>
                <w:szCs w:val="28"/>
              </w:rPr>
            </w:pPr>
            <w:r>
              <w:rPr>
                <w:rFonts w:hint="eastAsia" w:ascii="仿宋_GB2312" w:hAnsi="宋体" w:eastAsia="仿宋_GB2312"/>
                <w:sz w:val="28"/>
                <w:szCs w:val="28"/>
              </w:rPr>
              <w:t>电话：</w:t>
            </w:r>
            <w:r>
              <w:rPr>
                <w:rFonts w:hint="eastAsia" w:ascii="方正仿宋简体" w:hAnsi="方正仿宋简体" w:eastAsia="方正仿宋简体" w:cs="方正仿宋简体"/>
                <w:sz w:val="28"/>
                <w:szCs w:val="28"/>
              </w:rPr>
              <w:t>0511-88995202</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w:t>
            </w:r>
            <w:r>
              <w:rPr>
                <w:rFonts w:hint="eastAsia" w:ascii="方正仿宋简体" w:hAnsi="方正仿宋简体" w:eastAsia="方正仿宋简体" w:cs="方正仿宋简体"/>
                <w:sz w:val="28"/>
                <w:szCs w:val="28"/>
              </w:rPr>
              <w:t>镇江市工商银行谏壁支行</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账号： </w:t>
            </w:r>
            <w:r>
              <w:rPr>
                <w:rFonts w:hint="eastAsia" w:ascii="方正仿宋简体" w:hAnsi="方正仿宋简体" w:eastAsia="方正仿宋简体" w:cs="方正仿宋简体"/>
                <w:sz w:val="28"/>
                <w:szCs w:val="28"/>
              </w:rPr>
              <w:t>1104 0703 0900 0001 648</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邮政编码：212006</w:t>
            </w:r>
          </w:p>
          <w:p>
            <w:pPr>
              <w:spacing w:line="0" w:lineRule="atLeast"/>
              <w:rPr>
                <w:rFonts w:ascii="仿宋_GB2312" w:hAnsi="宋体" w:eastAsia="仿宋_GB2312"/>
                <w:sz w:val="28"/>
                <w:szCs w:val="28"/>
              </w:rPr>
            </w:pPr>
            <w:r>
              <w:rPr>
                <w:rFonts w:hint="eastAsia" w:ascii="仿宋_GB2312" w:hAnsi="宋体" w:eastAsia="仿宋_GB2312"/>
                <w:sz w:val="28"/>
                <w:szCs w:val="28"/>
              </w:rPr>
              <w:t>签订日期：2023年  月 日</w:t>
            </w:r>
          </w:p>
        </w:tc>
      </w:tr>
    </w:tbl>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本页为甲乙双方于2023年 月 日签订的《产品买卖合同》（编号：HJHB-E-2023-00**）合同签章页。</w:t>
      </w:r>
    </w:p>
    <w:tbl>
      <w:tblPr>
        <w:tblStyle w:val="12"/>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686" w:type="dxa"/>
            <w:tcBorders>
              <w:top w:val="single" w:color="auto" w:sz="4" w:space="0"/>
              <w:left w:val="single" w:color="auto" w:sz="4" w:space="0"/>
              <w:bottom w:val="single" w:color="auto" w:sz="4" w:space="0"/>
              <w:right w:val="single" w:color="auto" w:sz="4" w:space="0"/>
            </w:tcBorders>
          </w:tcPr>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甲方（盖章）：</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法定代表人：</w:t>
            </w:r>
          </w:p>
          <w:p>
            <w:pPr>
              <w:spacing w:line="0" w:lineRule="atLeast"/>
              <w:rPr>
                <w:rFonts w:ascii="仿宋_GB2312" w:hAnsi="宋体" w:eastAsia="仿宋_GB2312"/>
                <w:sz w:val="28"/>
                <w:szCs w:val="28"/>
              </w:rPr>
            </w:pPr>
            <w:r>
              <w:rPr>
                <w:rFonts w:hint="eastAsia" w:ascii="仿宋_GB2312" w:hAnsi="宋体" w:eastAsia="仿宋_GB2312"/>
                <w:sz w:val="28"/>
                <w:szCs w:val="28"/>
              </w:rPr>
              <w:t>业务经办人：</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电话：</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账号：</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签订日期： 年   月  日</w:t>
            </w:r>
          </w:p>
        </w:tc>
        <w:tc>
          <w:tcPr>
            <w:tcW w:w="5954" w:type="dxa"/>
            <w:tcBorders>
              <w:top w:val="single" w:color="auto" w:sz="4" w:space="0"/>
              <w:left w:val="single" w:color="auto" w:sz="4" w:space="0"/>
              <w:bottom w:val="single" w:color="auto" w:sz="4" w:space="0"/>
              <w:right w:val="single" w:color="auto" w:sz="4" w:space="0"/>
            </w:tcBorders>
          </w:tcPr>
          <w:p>
            <w:pPr>
              <w:spacing w:line="0" w:lineRule="atLeast"/>
              <w:rPr>
                <w:rFonts w:ascii="仿宋_GB2312" w:hAnsi="宋体" w:eastAsia="仿宋_GB2312"/>
                <w:sz w:val="28"/>
                <w:szCs w:val="28"/>
              </w:rPr>
            </w:pPr>
            <w:r>
              <w:rPr>
                <w:rFonts w:hint="eastAsia" w:ascii="仿宋_GB2312" w:hAnsi="宋体" w:eastAsia="仿宋_GB2312"/>
                <w:sz w:val="28"/>
                <w:szCs w:val="28"/>
              </w:rPr>
              <w:t xml:space="preserve">乙方（盖章）：镇江海纳川公铁运输有限公司                    </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单位地址：：镇江市谏壁镇越河街50号</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法定代表人： </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业务经办人： </w:t>
            </w:r>
          </w:p>
          <w:p>
            <w:pPr>
              <w:spacing w:line="0" w:lineRule="atLeast"/>
              <w:rPr>
                <w:rFonts w:ascii="仿宋_GB2312" w:hAnsi="宋体" w:eastAsia="仿宋_GB2312"/>
                <w:sz w:val="28"/>
                <w:szCs w:val="28"/>
              </w:rPr>
            </w:pPr>
            <w:r>
              <w:rPr>
                <w:rFonts w:hint="eastAsia" w:ascii="仿宋_GB2312" w:hAnsi="宋体" w:eastAsia="仿宋_GB2312"/>
                <w:sz w:val="28"/>
                <w:szCs w:val="28"/>
              </w:rPr>
              <w:t>电话：0511-88995202</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开户行：交通银行镇江分行</w:t>
            </w:r>
          </w:p>
          <w:p>
            <w:pPr>
              <w:spacing w:line="0" w:lineRule="atLeast"/>
              <w:rPr>
                <w:rFonts w:ascii="仿宋_GB2312" w:hAnsi="宋体" w:eastAsia="仿宋_GB2312"/>
                <w:sz w:val="28"/>
                <w:szCs w:val="28"/>
              </w:rPr>
            </w:pPr>
            <w:r>
              <w:rPr>
                <w:rFonts w:hint="eastAsia" w:ascii="仿宋_GB2312" w:hAnsi="宋体" w:eastAsia="仿宋_GB2312"/>
                <w:sz w:val="28"/>
                <w:szCs w:val="28"/>
              </w:rPr>
              <w:t>帐号：381006700011000185622</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邮政编码：212006</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签订日期：2023年  月 日</w:t>
            </w:r>
          </w:p>
        </w:tc>
      </w:tr>
    </w:tbl>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本页为甲乙双方于2023年 月 日签订的《产品买卖合同》（编号：HJHB-E-2023-00**）合同签章页。</w:t>
      </w:r>
    </w:p>
    <w:p>
      <w:pPr>
        <w:spacing w:line="600" w:lineRule="exact"/>
        <w:ind w:firstLine="640" w:firstLineChars="200"/>
        <w:rPr>
          <w:rFonts w:ascii="方正仿宋简体" w:hAnsi="方正仿宋简体" w:eastAsia="方正仿宋简体" w:cs="方正仿宋简体"/>
          <w:sz w:val="32"/>
          <w:szCs w:val="32"/>
        </w:rPr>
      </w:pPr>
    </w:p>
    <w:tbl>
      <w:tblPr>
        <w:tblStyle w:val="12"/>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3686" w:type="dxa"/>
            <w:tcBorders>
              <w:top w:val="single" w:color="auto" w:sz="4" w:space="0"/>
              <w:left w:val="single" w:color="auto" w:sz="4" w:space="0"/>
              <w:bottom w:val="single" w:color="auto" w:sz="4" w:space="0"/>
              <w:right w:val="single" w:color="auto" w:sz="4" w:space="0"/>
            </w:tcBorders>
          </w:tcPr>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甲方（盖章）：</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法定代表人：</w:t>
            </w:r>
          </w:p>
          <w:p>
            <w:pPr>
              <w:spacing w:line="0" w:lineRule="atLeast"/>
              <w:rPr>
                <w:rFonts w:ascii="仿宋_GB2312" w:hAnsi="宋体" w:eastAsia="仿宋_GB2312"/>
                <w:sz w:val="28"/>
                <w:szCs w:val="28"/>
              </w:rPr>
            </w:pPr>
            <w:r>
              <w:rPr>
                <w:rFonts w:hint="eastAsia" w:ascii="仿宋_GB2312" w:hAnsi="宋体" w:eastAsia="仿宋_GB2312"/>
                <w:sz w:val="28"/>
                <w:szCs w:val="28"/>
              </w:rPr>
              <w:t>业务经办人：</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电话：</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账号：</w:t>
            </w:r>
            <w:r>
              <w:rPr>
                <w:rFonts w:hint="eastAsia" w:ascii="方正仿宋简体" w:hAnsi="方正仿宋简体" w:eastAsia="方正仿宋简体" w:cs="方正仿宋简体"/>
                <w:sz w:val="28"/>
                <w:szCs w:val="28"/>
              </w:rPr>
              <w:t xml:space="preserve"> </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签订日期：年   月  日</w:t>
            </w:r>
          </w:p>
        </w:tc>
        <w:tc>
          <w:tcPr>
            <w:tcW w:w="5954" w:type="dxa"/>
            <w:tcBorders>
              <w:top w:val="single" w:color="auto" w:sz="4" w:space="0"/>
              <w:left w:val="single" w:color="auto" w:sz="4" w:space="0"/>
              <w:bottom w:val="single" w:color="auto" w:sz="4" w:space="0"/>
              <w:right w:val="single" w:color="auto" w:sz="4" w:space="0"/>
            </w:tcBorders>
          </w:tcPr>
          <w:p>
            <w:pPr>
              <w:spacing w:line="0" w:lineRule="atLeast"/>
              <w:rPr>
                <w:rFonts w:ascii="仿宋_GB2312" w:hAnsi="宋体" w:eastAsia="仿宋_GB2312"/>
                <w:sz w:val="28"/>
                <w:szCs w:val="28"/>
              </w:rPr>
            </w:pPr>
            <w:r>
              <w:rPr>
                <w:rFonts w:hint="eastAsia" w:ascii="仿宋_GB2312" w:hAnsi="宋体" w:eastAsia="仿宋_GB2312"/>
                <w:sz w:val="28"/>
                <w:szCs w:val="28"/>
              </w:rPr>
              <w:t xml:space="preserve">乙方（盖章）：江苏兴普物贸有限公司                    </w:t>
            </w:r>
          </w:p>
          <w:p>
            <w:pPr>
              <w:spacing w:line="0" w:lineRule="atLeast"/>
              <w:rPr>
                <w:rFonts w:ascii="仿宋_GB2312" w:hAnsi="宋体" w:eastAsia="仿宋_GB2312"/>
                <w:sz w:val="28"/>
                <w:szCs w:val="28"/>
              </w:rPr>
            </w:pPr>
            <w:r>
              <w:rPr>
                <w:rFonts w:hint="eastAsia" w:ascii="仿宋_GB2312" w:hAnsi="宋体" w:eastAsia="仿宋_GB2312"/>
                <w:sz w:val="28"/>
                <w:szCs w:val="28"/>
              </w:rPr>
              <w:t>单位地址：镇江市谏壁镇越河街50号</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法定代表人： </w:t>
            </w:r>
          </w:p>
          <w:p>
            <w:pPr>
              <w:spacing w:line="0" w:lineRule="atLeast"/>
              <w:rPr>
                <w:rFonts w:ascii="仿宋_GB2312" w:hAnsi="宋体" w:eastAsia="仿宋_GB2312"/>
                <w:sz w:val="28"/>
                <w:szCs w:val="28"/>
              </w:rPr>
            </w:pPr>
            <w:r>
              <w:rPr>
                <w:rFonts w:hint="eastAsia" w:ascii="仿宋_GB2312" w:hAnsi="宋体" w:eastAsia="仿宋_GB2312"/>
                <w:sz w:val="28"/>
                <w:szCs w:val="28"/>
              </w:rPr>
              <w:t xml:space="preserve">业务经办人： </w:t>
            </w:r>
          </w:p>
          <w:p>
            <w:pPr>
              <w:spacing w:line="0" w:lineRule="atLeast"/>
              <w:jc w:val="left"/>
              <w:rPr>
                <w:rFonts w:ascii="方正仿宋简体" w:hAnsi="方正仿宋简体" w:eastAsia="方正仿宋简体" w:cs="方正仿宋简体"/>
                <w:sz w:val="28"/>
                <w:szCs w:val="28"/>
              </w:rPr>
            </w:pPr>
            <w:r>
              <w:rPr>
                <w:rFonts w:hint="eastAsia" w:ascii="仿宋_GB2312" w:hAnsi="宋体" w:eastAsia="仿宋_GB2312"/>
                <w:sz w:val="28"/>
                <w:szCs w:val="28"/>
              </w:rPr>
              <w:t>电话：</w:t>
            </w:r>
            <w:r>
              <w:rPr>
                <w:rFonts w:hint="eastAsia" w:ascii="方正仿宋简体" w:hAnsi="方正仿宋简体" w:eastAsia="方正仿宋简体" w:cs="方正仿宋简体"/>
                <w:sz w:val="28"/>
                <w:szCs w:val="28"/>
              </w:rPr>
              <w:t>0511-88995200</w:t>
            </w:r>
          </w:p>
          <w:p>
            <w:pPr>
              <w:spacing w:line="0" w:lineRule="atLeast"/>
              <w:rPr>
                <w:rFonts w:ascii="仿宋_GB2312" w:hAnsi="宋体" w:eastAsia="仿宋_GB2312"/>
                <w:sz w:val="28"/>
                <w:szCs w:val="28"/>
              </w:rPr>
            </w:pPr>
            <w:r>
              <w:rPr>
                <w:rFonts w:hint="eastAsia" w:ascii="仿宋_GB2312" w:hAnsi="宋体" w:eastAsia="仿宋_GB2312"/>
                <w:sz w:val="28"/>
                <w:szCs w:val="28"/>
              </w:rPr>
              <w:t>传真：</w:t>
            </w:r>
          </w:p>
          <w:p>
            <w:pPr>
              <w:spacing w:line="0" w:lineRule="atLeast"/>
              <w:rPr>
                <w:rFonts w:ascii="仿宋_GB2312" w:hAnsi="宋体" w:eastAsia="仿宋_GB2312"/>
                <w:sz w:val="28"/>
                <w:szCs w:val="28"/>
              </w:rPr>
            </w:pPr>
            <w:r>
              <w:rPr>
                <w:rFonts w:hint="eastAsia" w:ascii="仿宋_GB2312" w:hAnsi="宋体" w:eastAsia="仿宋_GB2312"/>
                <w:sz w:val="28"/>
                <w:szCs w:val="28"/>
              </w:rPr>
              <w:t>开户行：</w:t>
            </w:r>
            <w:r>
              <w:rPr>
                <w:rFonts w:hint="eastAsia"/>
                <w:sz w:val="28"/>
                <w:szCs w:val="28"/>
              </w:rPr>
              <w:t>江苏银行镇江分行营业部</w:t>
            </w:r>
          </w:p>
          <w:p>
            <w:pPr>
              <w:spacing w:line="0" w:lineRule="atLeast"/>
              <w:rPr>
                <w:rFonts w:ascii="仿宋_GB2312" w:hAnsi="宋体" w:eastAsia="仿宋_GB2312"/>
                <w:sz w:val="28"/>
                <w:szCs w:val="28"/>
              </w:rPr>
            </w:pPr>
            <w:r>
              <w:rPr>
                <w:rFonts w:hint="eastAsia" w:ascii="仿宋_GB2312" w:hAnsi="宋体" w:eastAsia="仿宋_GB2312"/>
                <w:sz w:val="28"/>
                <w:szCs w:val="28"/>
              </w:rPr>
              <w:t>帐号：</w:t>
            </w:r>
            <w:r>
              <w:rPr>
                <w:rFonts w:hint="eastAsia" w:ascii="方正仿宋简体" w:hAnsi="方正仿宋简体" w:eastAsia="方正仿宋简体" w:cs="方正仿宋简体"/>
                <w:sz w:val="28"/>
                <w:szCs w:val="28"/>
              </w:rPr>
              <w:t>7001 0188 0001 32863</w:t>
            </w:r>
          </w:p>
          <w:p>
            <w:pPr>
              <w:spacing w:line="0" w:lineRule="atLeast"/>
              <w:rPr>
                <w:rFonts w:ascii="仿宋_GB2312" w:hAnsi="宋体" w:eastAsia="仿宋_GB2312"/>
                <w:sz w:val="28"/>
                <w:szCs w:val="28"/>
              </w:rPr>
            </w:pPr>
            <w:r>
              <w:rPr>
                <w:rFonts w:hint="eastAsia" w:ascii="仿宋_GB2312" w:hAnsi="宋体" w:eastAsia="仿宋_GB2312"/>
                <w:sz w:val="28"/>
                <w:szCs w:val="28"/>
              </w:rPr>
              <w:t>邮政编码：212006</w:t>
            </w:r>
          </w:p>
          <w:p>
            <w:pPr>
              <w:spacing w:line="0" w:lineRule="atLeast"/>
              <w:rPr>
                <w:rFonts w:ascii="方正仿宋简体" w:hAnsi="方正仿宋简体" w:eastAsia="方正仿宋简体" w:cs="方正仿宋简体"/>
                <w:sz w:val="28"/>
                <w:szCs w:val="28"/>
              </w:rPr>
            </w:pPr>
            <w:r>
              <w:rPr>
                <w:rFonts w:hint="eastAsia" w:ascii="仿宋_GB2312" w:hAnsi="宋体" w:eastAsia="仿宋_GB2312"/>
                <w:sz w:val="28"/>
                <w:szCs w:val="28"/>
              </w:rPr>
              <w:t>签订日期：2023年  月 日</w:t>
            </w:r>
          </w:p>
        </w:tc>
      </w:tr>
    </w:tbl>
    <w:p>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本页为甲乙双方于2023年 月 日签订的《产品买卖合同》（编号：HJHB-E-2023-00**）合同签章页。</w:t>
      </w:r>
    </w:p>
    <w:p>
      <w:pPr>
        <w:spacing w:line="600" w:lineRule="exact"/>
        <w:ind w:firstLine="640" w:firstLineChars="200"/>
        <w:rPr>
          <w:rFonts w:ascii="方正仿宋简体" w:hAnsi="方正仿宋简体" w:eastAsia="方正仿宋简体" w:cs="方正仿宋简体"/>
          <w:sz w:val="32"/>
          <w:szCs w:val="32"/>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ÎSå">
    <w:altName w:val="Arial"/>
    <w:panose1 w:val="00000000000000000000"/>
    <w:charset w:val="00"/>
    <w:family w:val="auto"/>
    <w:pitch w:val="default"/>
    <w:sig w:usb0="00000000" w:usb1="00000000" w:usb2="00000000" w:usb3="00000000" w:csb0="00000000"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pict>
        <v:rect id="文本框 2" o:spid="_x0000_s4097" o:spt="1" style="position:absolute;left:0pt;margin-top:0pt;height:144pt;width:144pt;mso-position-horizontal:center;mso-position-horizontal-relative:margin;mso-wrap-style:none;z-index:251660288;mso-width-relative:page;mso-height-relative:page;" filled="f" o:preferrelative="t" stroked="f" coordsize="21600,21600">
          <v:path/>
          <v:fill on="f" focussize="0,0"/>
          <v:stroke on="f"/>
          <v:imagedata o:title=""/>
          <o:lock v:ext="edit"/>
          <v:textbox inset="0mm,0mm,0mm,0mm" style="mso-fit-shape-to-text:t;">
            <w:txbxContent>
              <w:p>
                <w:pPr>
                  <w:pStyle w:val="8"/>
                  <w:jc w:val="center"/>
                </w:pPr>
                <w:r>
                  <w:fldChar w:fldCharType="begin"/>
                </w:r>
                <w:r>
                  <w:instrText xml:space="preserve"> PAGE  \* MERGEFORMAT </w:instrText>
                </w:r>
                <w:r>
                  <w:fldChar w:fldCharType="separate"/>
                </w:r>
                <w:r>
                  <w:t>14</w:t>
                </w:r>
                <w: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jc w:val="right"/>
    </w:pPr>
    <w:r>
      <w:rPr>
        <w:rFonts w:hint="eastAsia"/>
      </w:rPr>
      <w:t>镇江海纳川物流产业发展有限责任公司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613EF7"/>
    <w:multiLevelType w:val="singleLevel"/>
    <w:tmpl w:val="58613EF7"/>
    <w:lvl w:ilvl="0" w:tentative="0">
      <w:start w:val="2"/>
      <w:numFmt w:val="chineseCounting"/>
      <w:suff w:val="nothing"/>
      <w:lvlText w:val="（%1）"/>
      <w:lvlJc w:val="left"/>
      <w:rPr>
        <w:rFonts w:hint="eastAsia"/>
      </w:rPr>
    </w:lvl>
  </w:abstractNum>
  <w:abstractNum w:abstractNumId="1">
    <w:nsid w:val="7A45D22C"/>
    <w:multiLevelType w:val="singleLevel"/>
    <w:tmpl w:val="7A45D22C"/>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DEwNDY2YTI5NjhmZmZjMjIxYzU0Y2ZmMTU3ZjJkNmIifQ=="/>
  </w:docVars>
  <w:rsids>
    <w:rsidRoot w:val="359E47FF"/>
    <w:rsid w:val="00011B4B"/>
    <w:rsid w:val="000138E3"/>
    <w:rsid w:val="00030F87"/>
    <w:rsid w:val="000310BC"/>
    <w:rsid w:val="0003693D"/>
    <w:rsid w:val="00063E06"/>
    <w:rsid w:val="000869C2"/>
    <w:rsid w:val="000A22DB"/>
    <w:rsid w:val="000B2499"/>
    <w:rsid w:val="000C1845"/>
    <w:rsid w:val="000D348B"/>
    <w:rsid w:val="000D6A23"/>
    <w:rsid w:val="00102691"/>
    <w:rsid w:val="00103A8D"/>
    <w:rsid w:val="00115EEC"/>
    <w:rsid w:val="00116AFF"/>
    <w:rsid w:val="001260B7"/>
    <w:rsid w:val="00136B0D"/>
    <w:rsid w:val="00160290"/>
    <w:rsid w:val="00166793"/>
    <w:rsid w:val="0018234A"/>
    <w:rsid w:val="001915A1"/>
    <w:rsid w:val="00193418"/>
    <w:rsid w:val="00196EA5"/>
    <w:rsid w:val="001A289B"/>
    <w:rsid w:val="001A7FE6"/>
    <w:rsid w:val="001B4C8E"/>
    <w:rsid w:val="001C3F61"/>
    <w:rsid w:val="001D5CF3"/>
    <w:rsid w:val="001F16BE"/>
    <w:rsid w:val="001F212A"/>
    <w:rsid w:val="001F7C24"/>
    <w:rsid w:val="002014E1"/>
    <w:rsid w:val="00210C67"/>
    <w:rsid w:val="002133E5"/>
    <w:rsid w:val="0024696A"/>
    <w:rsid w:val="00273EC4"/>
    <w:rsid w:val="00281B7A"/>
    <w:rsid w:val="002B1475"/>
    <w:rsid w:val="002B3E65"/>
    <w:rsid w:val="002F51AC"/>
    <w:rsid w:val="002F66BD"/>
    <w:rsid w:val="0031037C"/>
    <w:rsid w:val="00313EBC"/>
    <w:rsid w:val="00325814"/>
    <w:rsid w:val="00327322"/>
    <w:rsid w:val="00331F42"/>
    <w:rsid w:val="00345E7E"/>
    <w:rsid w:val="00352942"/>
    <w:rsid w:val="00352E6E"/>
    <w:rsid w:val="00353D46"/>
    <w:rsid w:val="00355E41"/>
    <w:rsid w:val="00365B5B"/>
    <w:rsid w:val="003702A0"/>
    <w:rsid w:val="00372727"/>
    <w:rsid w:val="003732C8"/>
    <w:rsid w:val="00380BAA"/>
    <w:rsid w:val="0038382E"/>
    <w:rsid w:val="00383D99"/>
    <w:rsid w:val="00384194"/>
    <w:rsid w:val="00394D6B"/>
    <w:rsid w:val="003B2578"/>
    <w:rsid w:val="003B4E51"/>
    <w:rsid w:val="003C384A"/>
    <w:rsid w:val="003C5441"/>
    <w:rsid w:val="00413897"/>
    <w:rsid w:val="00423C19"/>
    <w:rsid w:val="004362A0"/>
    <w:rsid w:val="004424E8"/>
    <w:rsid w:val="004444E7"/>
    <w:rsid w:val="004531D5"/>
    <w:rsid w:val="00466243"/>
    <w:rsid w:val="004875EB"/>
    <w:rsid w:val="00493CCB"/>
    <w:rsid w:val="004975D5"/>
    <w:rsid w:val="004A2F20"/>
    <w:rsid w:val="004C1280"/>
    <w:rsid w:val="004C289D"/>
    <w:rsid w:val="004F1DEF"/>
    <w:rsid w:val="004F5E27"/>
    <w:rsid w:val="005142FA"/>
    <w:rsid w:val="00527733"/>
    <w:rsid w:val="0053268D"/>
    <w:rsid w:val="00555EB0"/>
    <w:rsid w:val="00560EB5"/>
    <w:rsid w:val="005633CB"/>
    <w:rsid w:val="005754B2"/>
    <w:rsid w:val="00577D8C"/>
    <w:rsid w:val="005B1B04"/>
    <w:rsid w:val="005D4F71"/>
    <w:rsid w:val="0061433F"/>
    <w:rsid w:val="00630574"/>
    <w:rsid w:val="006545BB"/>
    <w:rsid w:val="006734DC"/>
    <w:rsid w:val="006835A9"/>
    <w:rsid w:val="00693CB5"/>
    <w:rsid w:val="006C09FB"/>
    <w:rsid w:val="006D00BD"/>
    <w:rsid w:val="006D3CEC"/>
    <w:rsid w:val="006D5E62"/>
    <w:rsid w:val="006E4DE8"/>
    <w:rsid w:val="006F2EA4"/>
    <w:rsid w:val="006F6E4F"/>
    <w:rsid w:val="0070428B"/>
    <w:rsid w:val="00711ACD"/>
    <w:rsid w:val="00724955"/>
    <w:rsid w:val="007254A2"/>
    <w:rsid w:val="007254B5"/>
    <w:rsid w:val="00746466"/>
    <w:rsid w:val="00747B85"/>
    <w:rsid w:val="00753CD1"/>
    <w:rsid w:val="007664D1"/>
    <w:rsid w:val="00781AF0"/>
    <w:rsid w:val="00786EDE"/>
    <w:rsid w:val="007875CD"/>
    <w:rsid w:val="007D12CA"/>
    <w:rsid w:val="007D630F"/>
    <w:rsid w:val="007E0D6B"/>
    <w:rsid w:val="007E649A"/>
    <w:rsid w:val="007E6E47"/>
    <w:rsid w:val="00816425"/>
    <w:rsid w:val="0082247C"/>
    <w:rsid w:val="00823974"/>
    <w:rsid w:val="0083404A"/>
    <w:rsid w:val="00842B41"/>
    <w:rsid w:val="00856599"/>
    <w:rsid w:val="00882A3F"/>
    <w:rsid w:val="008A7E03"/>
    <w:rsid w:val="008B19E2"/>
    <w:rsid w:val="008B2D94"/>
    <w:rsid w:val="008B6FE9"/>
    <w:rsid w:val="008C588F"/>
    <w:rsid w:val="008C785B"/>
    <w:rsid w:val="008D2F65"/>
    <w:rsid w:val="008D5377"/>
    <w:rsid w:val="008E5E25"/>
    <w:rsid w:val="00900A5B"/>
    <w:rsid w:val="00905EC6"/>
    <w:rsid w:val="0091028A"/>
    <w:rsid w:val="0093613E"/>
    <w:rsid w:val="00975ECA"/>
    <w:rsid w:val="00980DFB"/>
    <w:rsid w:val="00981E93"/>
    <w:rsid w:val="009A29A7"/>
    <w:rsid w:val="009C7CE7"/>
    <w:rsid w:val="009D1883"/>
    <w:rsid w:val="009D21BB"/>
    <w:rsid w:val="00A21A58"/>
    <w:rsid w:val="00A30621"/>
    <w:rsid w:val="00A47E98"/>
    <w:rsid w:val="00A63D7F"/>
    <w:rsid w:val="00A7381A"/>
    <w:rsid w:val="00A81560"/>
    <w:rsid w:val="00AB6095"/>
    <w:rsid w:val="00AC569D"/>
    <w:rsid w:val="00AD747D"/>
    <w:rsid w:val="00AF123D"/>
    <w:rsid w:val="00AF29F9"/>
    <w:rsid w:val="00B01341"/>
    <w:rsid w:val="00B0144D"/>
    <w:rsid w:val="00B353E5"/>
    <w:rsid w:val="00B51C96"/>
    <w:rsid w:val="00B63039"/>
    <w:rsid w:val="00B7406B"/>
    <w:rsid w:val="00B74619"/>
    <w:rsid w:val="00B82A10"/>
    <w:rsid w:val="00B82CED"/>
    <w:rsid w:val="00B97765"/>
    <w:rsid w:val="00BD78FB"/>
    <w:rsid w:val="00BE38EB"/>
    <w:rsid w:val="00BF2809"/>
    <w:rsid w:val="00C2100D"/>
    <w:rsid w:val="00C258E8"/>
    <w:rsid w:val="00C31E40"/>
    <w:rsid w:val="00C41533"/>
    <w:rsid w:val="00C56465"/>
    <w:rsid w:val="00C743A3"/>
    <w:rsid w:val="00C80B8C"/>
    <w:rsid w:val="00C97E7F"/>
    <w:rsid w:val="00CA0D9C"/>
    <w:rsid w:val="00CA3D52"/>
    <w:rsid w:val="00CA7C16"/>
    <w:rsid w:val="00CB1FF4"/>
    <w:rsid w:val="00CB4679"/>
    <w:rsid w:val="00D004AA"/>
    <w:rsid w:val="00D12BBE"/>
    <w:rsid w:val="00D24639"/>
    <w:rsid w:val="00D32CC0"/>
    <w:rsid w:val="00D66640"/>
    <w:rsid w:val="00D74586"/>
    <w:rsid w:val="00D836B2"/>
    <w:rsid w:val="00D84546"/>
    <w:rsid w:val="00D84D68"/>
    <w:rsid w:val="00D84F85"/>
    <w:rsid w:val="00DA002C"/>
    <w:rsid w:val="00DD194E"/>
    <w:rsid w:val="00DD7DB9"/>
    <w:rsid w:val="00E30627"/>
    <w:rsid w:val="00E45A9C"/>
    <w:rsid w:val="00E50D02"/>
    <w:rsid w:val="00E5497C"/>
    <w:rsid w:val="00E737EA"/>
    <w:rsid w:val="00E74639"/>
    <w:rsid w:val="00E766BF"/>
    <w:rsid w:val="00E9659A"/>
    <w:rsid w:val="00EB7745"/>
    <w:rsid w:val="00ED1B47"/>
    <w:rsid w:val="00F0109D"/>
    <w:rsid w:val="00F02620"/>
    <w:rsid w:val="00F16E4B"/>
    <w:rsid w:val="00F32DB5"/>
    <w:rsid w:val="00F33B17"/>
    <w:rsid w:val="00F45B42"/>
    <w:rsid w:val="00F54AE9"/>
    <w:rsid w:val="00F75185"/>
    <w:rsid w:val="00F85286"/>
    <w:rsid w:val="00FA1409"/>
    <w:rsid w:val="00FF1217"/>
    <w:rsid w:val="00FF61CA"/>
    <w:rsid w:val="09E67744"/>
    <w:rsid w:val="0CCD460E"/>
    <w:rsid w:val="11E467E9"/>
    <w:rsid w:val="1444244B"/>
    <w:rsid w:val="14EA645D"/>
    <w:rsid w:val="19181A3A"/>
    <w:rsid w:val="225D796E"/>
    <w:rsid w:val="24EC6623"/>
    <w:rsid w:val="2A98798D"/>
    <w:rsid w:val="2BBD3669"/>
    <w:rsid w:val="2E16582B"/>
    <w:rsid w:val="2E4116FA"/>
    <w:rsid w:val="31262BAF"/>
    <w:rsid w:val="330F093A"/>
    <w:rsid w:val="34E37CA8"/>
    <w:rsid w:val="359E47FF"/>
    <w:rsid w:val="35B72FCB"/>
    <w:rsid w:val="35DA3E68"/>
    <w:rsid w:val="36E674AE"/>
    <w:rsid w:val="379A3E49"/>
    <w:rsid w:val="391E61C3"/>
    <w:rsid w:val="3F3D735A"/>
    <w:rsid w:val="40D519B8"/>
    <w:rsid w:val="416D2207"/>
    <w:rsid w:val="43EC12FF"/>
    <w:rsid w:val="44366C11"/>
    <w:rsid w:val="44E509D4"/>
    <w:rsid w:val="46825CD1"/>
    <w:rsid w:val="4ADD1BA1"/>
    <w:rsid w:val="4B0853C3"/>
    <w:rsid w:val="4D1078C4"/>
    <w:rsid w:val="4DC0511E"/>
    <w:rsid w:val="4FAC5BC3"/>
    <w:rsid w:val="4FC61FF0"/>
    <w:rsid w:val="50846203"/>
    <w:rsid w:val="538763B9"/>
    <w:rsid w:val="540463E4"/>
    <w:rsid w:val="55DC546E"/>
    <w:rsid w:val="579C3951"/>
    <w:rsid w:val="57F90679"/>
    <w:rsid w:val="596D6B7C"/>
    <w:rsid w:val="5CEC747F"/>
    <w:rsid w:val="5DDA4712"/>
    <w:rsid w:val="66202ABE"/>
    <w:rsid w:val="66441755"/>
    <w:rsid w:val="66CF713B"/>
    <w:rsid w:val="683F6E19"/>
    <w:rsid w:val="68961ACE"/>
    <w:rsid w:val="69C166FE"/>
    <w:rsid w:val="6AE467D8"/>
    <w:rsid w:val="6D9745DB"/>
    <w:rsid w:val="726141AB"/>
    <w:rsid w:val="7406451D"/>
    <w:rsid w:val="756A3232"/>
    <w:rsid w:val="77DF544D"/>
    <w:rsid w:val="782A7113"/>
    <w:rsid w:val="783458C3"/>
    <w:rsid w:val="7A1E0C67"/>
    <w:rsid w:val="7B044DE1"/>
    <w:rsid w:val="7DD76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8"/>
    <w:qFormat/>
    <w:uiPriority w:val="99"/>
    <w:pPr>
      <w:keepNext/>
      <w:keepLines/>
      <w:spacing w:line="600" w:lineRule="exact"/>
      <w:jc w:val="center"/>
      <w:outlineLvl w:val="0"/>
    </w:pPr>
    <w:rPr>
      <w:rFonts w:ascii="Calibri" w:hAnsi="Calibri"/>
      <w:kern w:val="44"/>
      <w:sz w:val="4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qFormat/>
    <w:uiPriority w:val="0"/>
    <w:pPr>
      <w:jc w:val="left"/>
    </w:pPr>
    <w:rPr>
      <w:rFonts w:ascii="Calibri" w:hAnsi="Calibri"/>
    </w:rPr>
  </w:style>
  <w:style w:type="paragraph" w:styleId="4">
    <w:name w:val="Body Text"/>
    <w:basedOn w:val="1"/>
    <w:next w:val="5"/>
    <w:unhideWhenUsed/>
    <w:qFormat/>
    <w:uiPriority w:val="99"/>
    <w:pPr>
      <w:spacing w:after="120"/>
    </w:pPr>
  </w:style>
  <w:style w:type="paragraph" w:styleId="5">
    <w:name w:val="Plain Text"/>
    <w:basedOn w:val="1"/>
    <w:link w:val="19"/>
    <w:unhideWhenUsed/>
    <w:qFormat/>
    <w:uiPriority w:val="99"/>
    <w:rPr>
      <w:rFonts w:ascii="宋体" w:hAnsi="Courier New"/>
      <w:kern w:val="0"/>
      <w:sz w:val="20"/>
    </w:rPr>
  </w:style>
  <w:style w:type="paragraph" w:styleId="6">
    <w:name w:val="Body Text Indent"/>
    <w:basedOn w:val="1"/>
    <w:unhideWhenUsed/>
    <w:qFormat/>
    <w:uiPriority w:val="0"/>
    <w:pPr>
      <w:spacing w:after="120"/>
      <w:ind w:left="420" w:leftChars="200"/>
    </w:pPr>
  </w:style>
  <w:style w:type="paragraph" w:styleId="7">
    <w:name w:val="Balloon Text"/>
    <w:basedOn w:val="1"/>
    <w:link w:val="20"/>
    <w:qFormat/>
    <w:uiPriority w:val="0"/>
    <w:rPr>
      <w:sz w:val="18"/>
      <w:szCs w:val="18"/>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next w:val="1"/>
    <w:qFormat/>
    <w:uiPriority w:val="0"/>
    <w:pPr>
      <w:spacing w:before="240" w:after="60"/>
      <w:jc w:val="center"/>
      <w:outlineLvl w:val="0"/>
    </w:pPr>
    <w:rPr>
      <w:rFonts w:ascii="Cambria" w:hAnsi="Cambria"/>
      <w:b/>
      <w:bCs/>
      <w:kern w:val="0"/>
      <w:sz w:val="32"/>
      <w:szCs w:val="32"/>
    </w:rPr>
  </w:style>
  <w:style w:type="paragraph" w:styleId="11">
    <w:name w:val="Body Text First Indent 2"/>
    <w:basedOn w:val="6"/>
    <w:qFormat/>
    <w:uiPriority w:val="99"/>
    <w:pPr>
      <w:adjustRightInd w:val="0"/>
      <w:spacing w:after="0" w:line="312" w:lineRule="atLeast"/>
      <w:ind w:left="1296" w:leftChars="0"/>
      <w:textAlignment w:val="baseline"/>
    </w:pPr>
    <w:rPr>
      <w:rFonts w:eastAsia="仿宋_GB2312"/>
      <w:kern w:val="21"/>
      <w:sz w:val="32"/>
    </w:rPr>
  </w:style>
  <w:style w:type="paragraph" w:customStyle="1" w:styleId="14">
    <w:name w:val="列出段落11"/>
    <w:basedOn w:val="1"/>
    <w:qFormat/>
    <w:uiPriority w:val="99"/>
    <w:pPr>
      <w:ind w:firstLine="420" w:firstLineChars="200"/>
    </w:pPr>
  </w:style>
  <w:style w:type="paragraph" w:customStyle="1" w:styleId="15">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6">
    <w:name w:val="列出段落1"/>
    <w:basedOn w:val="1"/>
    <w:qFormat/>
    <w:uiPriority w:val="34"/>
    <w:pPr>
      <w:ind w:firstLine="420" w:firstLineChars="200"/>
    </w:pPr>
  </w:style>
  <w:style w:type="character" w:customStyle="1" w:styleId="17">
    <w:name w:val="批注文字 Char"/>
    <w:basedOn w:val="13"/>
    <w:link w:val="3"/>
    <w:qFormat/>
    <w:uiPriority w:val="0"/>
    <w:rPr>
      <w:rFonts w:cs="Times New Roman"/>
      <w:kern w:val="2"/>
      <w:sz w:val="21"/>
    </w:rPr>
  </w:style>
  <w:style w:type="character" w:customStyle="1" w:styleId="18">
    <w:name w:val="标题 1 Char"/>
    <w:basedOn w:val="13"/>
    <w:link w:val="2"/>
    <w:qFormat/>
    <w:uiPriority w:val="99"/>
    <w:rPr>
      <w:rFonts w:cs="Times New Roman"/>
      <w:kern w:val="44"/>
      <w:sz w:val="44"/>
    </w:rPr>
  </w:style>
  <w:style w:type="character" w:customStyle="1" w:styleId="19">
    <w:name w:val="纯文本 Char"/>
    <w:basedOn w:val="13"/>
    <w:link w:val="5"/>
    <w:qFormat/>
    <w:uiPriority w:val="99"/>
    <w:rPr>
      <w:rFonts w:ascii="宋体" w:hAnsi="Courier New" w:cs="Times New Roman"/>
    </w:rPr>
  </w:style>
  <w:style w:type="character" w:customStyle="1" w:styleId="20">
    <w:name w:val="批注框文本 Char"/>
    <w:basedOn w:val="13"/>
    <w:link w:val="7"/>
    <w:uiPriority w:val="0"/>
    <w:rPr>
      <w:rFonts w:ascii="Times New Roman" w:hAnsi="Times New Roman"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11DB3C-EC86-48AF-9E08-D542DF1F231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1745</Words>
  <Characters>9953</Characters>
  <Lines>82</Lines>
  <Paragraphs>23</Paragraphs>
  <TotalTime>0</TotalTime>
  <ScaleCrop>false</ScaleCrop>
  <LinksUpToDate>false</LinksUpToDate>
  <CharactersWithSpaces>11675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2023-08-10T06:55:00Z</dcterms:created>
  <dc:creator>Administrator</dc:creator>
  <cp:lastModifiedBy>邵蕾✨</cp:lastModifiedBy>
  <cp:lastPrinted>2023-07-10T01:32:00Z</cp:lastPrinted>
  <dcterms:modified xsi:type="dcterms:W3CDTF">2023-09-07T09:06:41Z</dcterms:modified>
  <dc:title>镇江海纳川物流产业发展有限责任公司</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E617128971214F11A0A6819B265D0306</vt:lpwstr>
  </property>
</Properties>
</file>