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rFonts w:ascii="方正小标宋简体" w:eastAsia="方正小标宋简体" w:cs="宋体"/>
        </w:rPr>
      </w:pPr>
      <w:r>
        <w:rPr>
          <w:rFonts w:hint="eastAsia" w:ascii="方正小标宋简体" w:hAnsi="宋体" w:eastAsia="方正小标宋简体" w:cs="宋体"/>
        </w:rPr>
        <w:t>镇江海纳川物流产业发展有限责任公司</w:t>
      </w:r>
    </w:p>
    <w:p>
      <w:pPr>
        <w:pStyle w:val="3"/>
        <w:rPr>
          <w:rFonts w:ascii="方正小标宋简体" w:hAnsi="宋体" w:eastAsia="方正小标宋简体" w:cs="宋体"/>
        </w:rPr>
      </w:pPr>
      <w:r>
        <w:rPr>
          <w:rFonts w:hint="eastAsia" w:ascii="方正小标宋简体" w:hAnsi="宋体" w:eastAsia="方正小标宋简体" w:cs="宋体"/>
        </w:rPr>
        <w:t>招标文件</w:t>
      </w:r>
    </w:p>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我公司现</w:t>
      </w:r>
      <w:r>
        <w:rPr>
          <w:rFonts w:hint="eastAsia" w:ascii="方正仿宋简体" w:hAnsi="方正仿宋简体" w:eastAsia="方正仿宋简体" w:cs="方正仿宋简体"/>
          <w:bCs/>
          <w:sz w:val="32"/>
          <w:szCs w:val="32"/>
          <w:lang w:val="zh-CN"/>
        </w:rPr>
        <w:t>采用自主公开招标的方式选定供应商，</w:t>
      </w:r>
      <w:r>
        <w:rPr>
          <w:rFonts w:hint="eastAsia" w:ascii="方正仿宋简体" w:hAnsi="方正仿宋简体" w:eastAsia="方正仿宋简体" w:cs="方正仿宋简体"/>
          <w:sz w:val="32"/>
          <w:szCs w:val="32"/>
        </w:rPr>
        <w:t>欢迎具有相关资质的厂商前来投标。</w:t>
      </w:r>
    </w:p>
    <w:p>
      <w:pPr>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一、招标概况</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rPr>
        <w:t>项目名称：</w:t>
      </w:r>
      <w:r>
        <w:rPr>
          <w:rFonts w:ascii="方正仿宋简体" w:hAnsi="仿宋_GB2312" w:eastAsia="方正仿宋简体" w:cs="仿宋_GB2312"/>
          <w:kern w:val="32"/>
          <w:sz w:val="32"/>
          <w:szCs w:val="32"/>
          <w:u w:val="single"/>
        </w:rPr>
        <w:t>镇江海纳川物流产业发展有限公司危险化学品仓储及装卸装置安全仪表系统安全完整性等级（SIL）</w:t>
      </w:r>
      <w:r>
        <w:rPr>
          <w:rFonts w:hint="eastAsia" w:ascii="方正仿宋简体" w:hAnsi="仿宋_GB2312" w:eastAsia="方正仿宋简体" w:cs="仿宋_GB2312"/>
          <w:kern w:val="32"/>
          <w:sz w:val="32"/>
          <w:szCs w:val="32"/>
          <w:u w:val="single"/>
        </w:rPr>
        <w:t>验证招标</w:t>
      </w:r>
      <w:r>
        <w:rPr>
          <w:rFonts w:hint="eastAsia" w:ascii="方正仿宋简体" w:hAnsi="方正仿宋简体" w:eastAsia="方正仿宋简体" w:cs="方正仿宋简体"/>
          <w:bCs/>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施工时间：</w:t>
      </w:r>
      <w:r>
        <w:rPr>
          <w:rFonts w:hint="eastAsia" w:ascii="方正仿宋简体" w:hAnsi="仿宋_GB2312" w:eastAsia="方正仿宋简体" w:cs="仿宋_GB2312"/>
          <w:kern w:val="32"/>
          <w:sz w:val="32"/>
          <w:szCs w:val="32"/>
          <w:u w:val="single"/>
        </w:rPr>
        <w:t>合同签订后</w:t>
      </w:r>
      <w:r>
        <w:rPr>
          <w:rFonts w:ascii="方正仿宋简体" w:hAnsi="仿宋_GB2312" w:eastAsia="方正仿宋简体" w:cs="仿宋_GB2312"/>
          <w:kern w:val="32"/>
          <w:sz w:val="32"/>
          <w:szCs w:val="32"/>
          <w:u w:val="single"/>
        </w:rPr>
        <w:t>10</w:t>
      </w:r>
      <w:r>
        <w:rPr>
          <w:rFonts w:hint="eastAsia" w:ascii="方正仿宋简体" w:hAnsi="仿宋_GB2312" w:eastAsia="方正仿宋简体" w:cs="仿宋_GB2312"/>
          <w:kern w:val="32"/>
          <w:sz w:val="32"/>
          <w:szCs w:val="32"/>
          <w:u w:val="single"/>
        </w:rPr>
        <w:t>天内</w:t>
      </w:r>
      <w:r>
        <w:rPr>
          <w:rFonts w:hint="eastAsia" w:ascii="方正仿宋简体" w:hAnsi="方正仿宋简体" w:eastAsia="方正仿宋简体" w:cs="方正仿宋简体"/>
          <w:sz w:val="32"/>
          <w:szCs w:val="32"/>
        </w:rPr>
        <w:t>；</w:t>
      </w:r>
    </w:p>
    <w:p>
      <w:pPr>
        <w:pStyle w:val="3"/>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 xml:space="preserve">    （三）</w:t>
      </w:r>
      <w:r>
        <w:rPr>
          <w:rFonts w:hint="eastAsia" w:ascii="方正仿宋简体" w:hAnsi="方正仿宋简体" w:eastAsia="方正仿宋简体" w:cs="方正仿宋简体"/>
          <w:sz w:val="32"/>
          <w:szCs w:val="32"/>
        </w:rPr>
        <w:t>施工地点：</w:t>
      </w:r>
      <w:r>
        <w:rPr>
          <w:rFonts w:hint="eastAsia" w:ascii="方正仿宋简体" w:hAnsi="方正仿宋简体" w:eastAsia="方正仿宋简体" w:cs="方正仿宋简体"/>
          <w:sz w:val="32"/>
          <w:szCs w:val="32"/>
          <w:u w:val="single"/>
        </w:rPr>
        <w:t>镇江海纳川物流产业发展有限责任公司；</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（四）</w:t>
      </w:r>
      <w:r>
        <w:rPr>
          <w:rFonts w:hint="eastAsia" w:ascii="方正仿宋简体" w:hAnsi="方正仿宋简体" w:eastAsia="方正仿宋简体" w:cs="方正仿宋简体"/>
          <w:sz w:val="32"/>
          <w:szCs w:val="32"/>
        </w:rPr>
        <w:t>投标截止时间：</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u w:val="single"/>
          <w:lang w:val="en-US" w:eastAsia="zh-CN"/>
        </w:rPr>
        <w:t>2023年9月15日上午10点整</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（五）</w:t>
      </w:r>
      <w:r>
        <w:rPr>
          <w:rFonts w:hint="eastAsia" w:ascii="方正仿宋简体" w:hAnsi="方正仿宋简体" w:eastAsia="方正仿宋简体" w:cs="方正仿宋简体"/>
          <w:sz w:val="32"/>
          <w:szCs w:val="32"/>
        </w:rPr>
        <w:t>初定开标时间：</w:t>
      </w:r>
      <w:r>
        <w:rPr>
          <w:rFonts w:hint="eastAsia" w:ascii="方正仿宋简体" w:hAnsi="方正仿宋简体" w:eastAsia="方正仿宋简体" w:cs="方正仿宋简体"/>
          <w:sz w:val="32"/>
          <w:szCs w:val="32"/>
          <w:u w:val="single"/>
          <w:lang w:val="en-US" w:eastAsia="zh-CN"/>
        </w:rPr>
        <w:t xml:space="preserve"> 2023年9月15日上午10点整 </w:t>
      </w:r>
      <w:r>
        <w:rPr>
          <w:rFonts w:hint="eastAsia" w:ascii="方正仿宋简体" w:hAnsi="方正仿宋简体" w:eastAsia="方正仿宋简体" w:cs="方正仿宋简体"/>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（六）</w:t>
      </w:r>
      <w:r>
        <w:rPr>
          <w:rFonts w:hint="eastAsia" w:ascii="方正仿宋简体" w:hAnsi="方正仿宋简体" w:eastAsia="方正仿宋简体" w:cs="方正仿宋简体"/>
          <w:sz w:val="32"/>
          <w:szCs w:val="32"/>
        </w:rPr>
        <w:t>开标地点：</w:t>
      </w:r>
      <w:r>
        <w:rPr>
          <w:rFonts w:hint="eastAsia" w:ascii="方正仿宋简体" w:hAnsi="方正仿宋简体" w:eastAsia="方正仿宋简体" w:cs="方正仿宋简体"/>
          <w:sz w:val="32"/>
          <w:szCs w:val="32"/>
          <w:u w:val="single"/>
        </w:rPr>
        <w:t>镇江海纳川物流产业发展有限责任公司210开标室</w:t>
      </w:r>
      <w:r>
        <w:rPr>
          <w:rFonts w:hint="eastAsia" w:ascii="方正仿宋简体" w:hAnsi="方正仿宋简体" w:eastAsia="方正仿宋简体" w:cs="方正仿宋简体"/>
          <w:sz w:val="32"/>
          <w:szCs w:val="32"/>
        </w:rPr>
        <w:t>；</w:t>
      </w:r>
    </w:p>
    <w:p>
      <w:pPr>
        <w:pStyle w:val="5"/>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（七）</w:t>
      </w:r>
      <w:r>
        <w:rPr>
          <w:rFonts w:hint="eastAsia" w:ascii="方正仿宋简体" w:hAnsi="方正仿宋简体" w:eastAsia="方正仿宋简体" w:cs="方正仿宋简体"/>
          <w:sz w:val="32"/>
          <w:szCs w:val="32"/>
        </w:rPr>
        <w:t>中标公示：中标信息将于开标后在海纳川官网公示，请各投标人登录</w:t>
      </w:r>
      <w:r>
        <w:rPr>
          <w:rFonts w:hint="eastAsia" w:ascii="方正仿宋简体" w:hAnsi="方正仿宋简体" w:eastAsia="方正仿宋简体" w:cs="方正仿宋简体"/>
          <w:bCs/>
          <w:sz w:val="32"/>
          <w:szCs w:val="32"/>
        </w:rPr>
        <w:t>http://www.zjshnc.com</w:t>
      </w:r>
      <w:r>
        <w:rPr>
          <w:rFonts w:hint="eastAsia" w:ascii="方正仿宋简体" w:hAnsi="方正仿宋简体" w:eastAsia="方正仿宋简体" w:cs="方正仿宋简体"/>
          <w:sz w:val="32"/>
          <w:szCs w:val="32"/>
        </w:rPr>
        <w:t>查询。</w:t>
      </w:r>
    </w:p>
    <w:p>
      <w:pPr>
        <w:wordWrap w:val="0"/>
        <w:ind w:firstLine="640" w:firstLineChars="200"/>
        <w:jc w:val="lef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二、招标内容</w:t>
      </w:r>
    </w:p>
    <w:p>
      <w:pPr>
        <w:adjustRightInd w:val="0"/>
        <w:snapToGrid w:val="0"/>
        <w:spacing w:line="600" w:lineRule="exact"/>
        <w:ind w:firstLine="640" w:firstLineChars="200"/>
        <w:rPr>
          <w:rFonts w:ascii="仿宋_GB2312" w:hAnsi="仿宋_GB2312" w:eastAsia="仿宋_GB2312" w:cs="仿宋_GB2312"/>
          <w:bCs/>
          <w:kern w:val="1"/>
          <w:sz w:val="30"/>
          <w:szCs w:val="30"/>
        </w:rPr>
      </w:pPr>
      <w:r>
        <w:rPr>
          <w:rFonts w:hint="eastAsia" w:ascii="方正仿宋简体" w:hAnsi="方正仿宋简体" w:eastAsia="方正仿宋简体" w:cs="方正仿宋简体"/>
          <w:sz w:val="32"/>
          <w:szCs w:val="32"/>
        </w:rPr>
        <w:t xml:space="preserve">（一）标的物内容  </w:t>
      </w:r>
      <w:r>
        <w:rPr>
          <w:rFonts w:hint="eastAsia" w:ascii="仿宋_GB2312" w:hAnsi="仿宋_GB2312" w:eastAsia="仿宋_GB2312" w:cs="仿宋_GB2312"/>
          <w:bCs/>
          <w:kern w:val="1"/>
          <w:sz w:val="30"/>
          <w:szCs w:val="30"/>
        </w:rPr>
        <w:t xml:space="preserve">  </w:t>
      </w:r>
    </w:p>
    <w:p>
      <w:pPr>
        <w:adjustRightInd w:val="0"/>
        <w:snapToGrid w:val="0"/>
        <w:spacing w:line="600" w:lineRule="exact"/>
        <w:ind w:firstLine="800" w:firstLineChars="250"/>
        <w:rPr>
          <w:rFonts w:eastAsia="仿宋_GB2312"/>
        </w:rPr>
      </w:pPr>
      <w:r>
        <w:rPr>
          <w:rFonts w:ascii="方正仿宋简体" w:hAnsi="仿宋_GB2312" w:eastAsia="方正仿宋简体" w:cs="仿宋_GB2312"/>
          <w:kern w:val="32"/>
          <w:sz w:val="32"/>
          <w:szCs w:val="32"/>
          <w:u w:val="single"/>
        </w:rPr>
        <w:t>镇江海纳川物流产业发展有限公司危险化学品仓储及装卸装置安全仪表系统安全完整性等级（SIL）</w:t>
      </w:r>
      <w:r>
        <w:rPr>
          <w:rFonts w:hint="eastAsia" w:ascii="方正仿宋简体" w:hAnsi="仿宋_GB2312" w:eastAsia="方正仿宋简体" w:cs="仿宋_GB2312"/>
          <w:kern w:val="32"/>
          <w:sz w:val="32"/>
          <w:szCs w:val="32"/>
          <w:u w:val="single"/>
        </w:rPr>
        <w:t>验证</w:t>
      </w:r>
      <w:r>
        <w:rPr>
          <w:rFonts w:hint="eastAsia" w:ascii="方正仿宋简体" w:hAnsi="方正仿宋简体" w:eastAsia="方正仿宋简体" w:cs="方正仿宋简体"/>
          <w:sz w:val="32"/>
          <w:szCs w:val="32"/>
        </w:rPr>
        <w:t>。（中标方验算</w:t>
      </w:r>
      <w:r>
        <w:rPr>
          <w:rFonts w:ascii="方正仿宋简体" w:hAnsi="方正仿宋简体" w:eastAsia="方正仿宋简体" w:cs="方正仿宋简体"/>
          <w:sz w:val="32"/>
          <w:szCs w:val="32"/>
        </w:rPr>
        <w:t>完成后，提供</w:t>
      </w:r>
      <w:r>
        <w:rPr>
          <w:rFonts w:hint="eastAsia" w:ascii="方正仿宋简体" w:hAnsi="方正仿宋简体" w:eastAsia="方正仿宋简体" w:cs="方正仿宋简体"/>
          <w:sz w:val="32"/>
          <w:szCs w:val="32"/>
        </w:rPr>
        <w:t>2份</w:t>
      </w:r>
      <w:r>
        <w:rPr>
          <w:rFonts w:ascii="方正仿宋简体" w:hAnsi="方正仿宋简体" w:eastAsia="方正仿宋简体" w:cs="方正仿宋简体"/>
          <w:sz w:val="32"/>
          <w:szCs w:val="32"/>
        </w:rPr>
        <w:t>验证报告和一</w:t>
      </w:r>
      <w:r>
        <w:rPr>
          <w:rFonts w:hint="eastAsia" w:ascii="方正仿宋简体" w:hAnsi="方正仿宋简体" w:eastAsia="方正仿宋简体" w:cs="方正仿宋简体"/>
          <w:sz w:val="32"/>
          <w:szCs w:val="32"/>
        </w:rPr>
        <w:t>份</w:t>
      </w:r>
      <w:r>
        <w:rPr>
          <w:rFonts w:ascii="方正仿宋简体" w:hAnsi="方正仿宋简体" w:eastAsia="方正仿宋简体" w:cs="方正仿宋简体"/>
          <w:sz w:val="32"/>
          <w:szCs w:val="32"/>
        </w:rPr>
        <w:t>电子版</w:t>
      </w:r>
      <w:r>
        <w:rPr>
          <w:rFonts w:hint="eastAsia" w:ascii="方正仿宋简体" w:hAnsi="方正仿宋简体" w:eastAsia="方正仿宋简体" w:cs="方正仿宋简体"/>
          <w:sz w:val="32"/>
          <w:szCs w:val="32"/>
        </w:rPr>
        <w:t>验证</w:t>
      </w:r>
      <w:r>
        <w:rPr>
          <w:rFonts w:ascii="方正仿宋简体" w:hAnsi="方正仿宋简体" w:eastAsia="方正仿宋简体" w:cs="方正仿宋简体"/>
          <w:sz w:val="32"/>
          <w:szCs w:val="32"/>
        </w:rPr>
        <w:t>报告</w:t>
      </w:r>
      <w:r>
        <w:rPr>
          <w:rFonts w:hint="eastAsia" w:ascii="方正仿宋简体" w:hAnsi="方正仿宋简体" w:eastAsia="方正仿宋简体" w:cs="方正仿宋简体"/>
          <w:sz w:val="32"/>
          <w:szCs w:val="32"/>
        </w:rPr>
        <w:t>）。</w:t>
      </w:r>
    </w:p>
    <w:p>
      <w:pPr>
        <w:pageBreakBefore w:val="0"/>
        <w:widowControl w:val="0"/>
        <w:kinsoku/>
        <w:overflowPunct/>
        <w:topLinePunct w:val="0"/>
        <w:autoSpaceDE/>
        <w:autoSpaceDN/>
        <w:bidi w:val="0"/>
        <w:adjustRightInd/>
        <w:snapToGrid/>
        <w:spacing w:line="600" w:lineRule="exact"/>
        <w:ind w:firstLine="640" w:firstLineChars="200"/>
        <w:jc w:val="left"/>
        <w:textAlignment w:val="auto"/>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（二）技术要求</w:t>
      </w:r>
    </w:p>
    <w:p>
      <w:pPr>
        <w:pageBreakBefore w:val="0"/>
        <w:widowControl w:val="0"/>
        <w:kinsoku/>
        <w:overflowPunct/>
        <w:topLinePunct w:val="0"/>
        <w:autoSpaceDE/>
        <w:autoSpaceDN/>
        <w:bidi w:val="0"/>
        <w:adjustRightInd/>
        <w:snapToGrid/>
        <w:spacing w:line="600" w:lineRule="exact"/>
        <w:ind w:firstLine="640" w:firstLineChars="200"/>
        <w:jc w:val="left"/>
        <w:textAlignment w:val="auto"/>
        <w:rPr>
          <w:rFonts w:ascii="方正仿宋简体" w:hAnsi="仿宋_GB2312" w:eastAsia="方正仿宋简体" w:cs="仿宋_GB2312"/>
          <w:sz w:val="32"/>
          <w:szCs w:val="32"/>
        </w:rPr>
      </w:pPr>
      <w:r>
        <w:rPr>
          <w:rFonts w:hint="eastAsia" w:ascii="方正仿宋简体" w:hAnsi="仿宋_GB2312" w:eastAsia="方正仿宋简体" w:cs="仿宋_GB2312"/>
          <w:sz w:val="32"/>
          <w:szCs w:val="32"/>
        </w:rPr>
        <w:t>1</w:t>
      </w:r>
      <w:r>
        <w:rPr>
          <w:rFonts w:ascii="方正仿宋简体" w:hAnsi="仿宋_GB2312" w:eastAsia="方正仿宋简体" w:cs="仿宋_GB2312"/>
          <w:sz w:val="32"/>
          <w:szCs w:val="32"/>
        </w:rPr>
        <w:t xml:space="preserve">. </w:t>
      </w:r>
      <w:r>
        <w:rPr>
          <w:rFonts w:hint="eastAsia" w:ascii="方正仿宋简体" w:hAnsi="仿宋_GB2312" w:eastAsia="方正仿宋简体" w:cs="仿宋_GB2312"/>
          <w:sz w:val="32"/>
          <w:szCs w:val="32"/>
        </w:rPr>
        <w:t>验算</w:t>
      </w:r>
      <w:r>
        <w:rPr>
          <w:rFonts w:ascii="方正仿宋简体" w:hAnsi="仿宋_GB2312" w:eastAsia="方正仿宋简体" w:cs="仿宋_GB2312"/>
          <w:sz w:val="32"/>
          <w:szCs w:val="32"/>
        </w:rPr>
        <w:t>范围</w:t>
      </w:r>
    </w:p>
    <w:p>
      <w:pPr>
        <w:pageBreakBefore w:val="0"/>
        <w:widowControl w:val="0"/>
        <w:kinsoku/>
        <w:overflowPunct/>
        <w:topLinePunct w:val="0"/>
        <w:autoSpaceDE/>
        <w:autoSpaceDN/>
        <w:bidi w:val="0"/>
        <w:adjustRightInd/>
        <w:snapToGrid/>
        <w:spacing w:line="600" w:lineRule="exact"/>
        <w:ind w:firstLine="640" w:firstLineChars="200"/>
        <w:jc w:val="left"/>
        <w:textAlignment w:val="auto"/>
        <w:rPr>
          <w:rFonts w:ascii="方正仿宋简体" w:hAnsi="仿宋_GB2312" w:eastAsia="方正仿宋简体" w:cs="仿宋_GB2312"/>
          <w:sz w:val="32"/>
          <w:szCs w:val="32"/>
        </w:rPr>
      </w:pPr>
      <w:r>
        <w:rPr>
          <w:rFonts w:ascii="方正仿宋简体" w:hAnsi="仿宋_GB2312" w:eastAsia="方正仿宋简体" w:cs="仿宋_GB2312"/>
          <w:sz w:val="32"/>
          <w:szCs w:val="32"/>
        </w:rPr>
        <w:t>SIL等级</w:t>
      </w:r>
      <w:r>
        <w:rPr>
          <w:rFonts w:hint="eastAsia" w:ascii="方正仿宋简体" w:hAnsi="仿宋_GB2312" w:eastAsia="方正仿宋简体" w:cs="仿宋_GB2312"/>
          <w:sz w:val="32"/>
          <w:szCs w:val="32"/>
        </w:rPr>
        <w:t>验证</w:t>
      </w:r>
      <w:r>
        <w:rPr>
          <w:rFonts w:ascii="方正仿宋简体" w:hAnsi="仿宋_GB2312" w:eastAsia="方正仿宋简体" w:cs="仿宋_GB2312"/>
          <w:sz w:val="32"/>
          <w:szCs w:val="32"/>
        </w:rPr>
        <w:t>的范围包括镇江海纳川物流产业发展有限公司危险化学品仓储及装卸装置的主工艺流程及辅助工艺流程，覆盖装置安全完整性等级（SIL1及以上）所确定的所有回路。</w:t>
      </w:r>
      <w:r>
        <w:rPr>
          <w:rFonts w:hint="eastAsia" w:ascii="方正仿宋简体" w:hAnsi="仿宋_GB2312" w:eastAsia="方正仿宋简体" w:cs="仿宋_GB2312"/>
          <w:sz w:val="32"/>
          <w:szCs w:val="32"/>
        </w:rPr>
        <w:t xml:space="preserve"> </w:t>
      </w:r>
      <w:r>
        <w:rPr>
          <w:rFonts w:ascii="方正仿宋简体" w:hAnsi="仿宋_GB2312" w:eastAsia="方正仿宋简体" w:cs="仿宋_GB2312"/>
          <w:szCs w:val="32"/>
        </w:rPr>
        <w:t xml:space="preserve">                                  </w:t>
      </w:r>
    </w:p>
    <w:p>
      <w:pPr>
        <w:pStyle w:val="2"/>
        <w:pageBreakBefore w:val="0"/>
        <w:widowControl w:val="0"/>
        <w:kinsoku/>
        <w:overflowPunct/>
        <w:topLinePunct w:val="0"/>
        <w:autoSpaceDE/>
        <w:autoSpaceDN/>
        <w:bidi w:val="0"/>
        <w:adjustRightInd/>
        <w:snapToGrid/>
        <w:spacing w:before="0" w:after="0" w:line="600" w:lineRule="exact"/>
        <w:ind w:firstLine="800" w:firstLineChars="250"/>
        <w:textAlignment w:val="auto"/>
        <w:rPr>
          <w:rFonts w:ascii="方正仿宋简体" w:hAnsi="仿宋_GB2312" w:eastAsia="方正仿宋简体" w:cs="仿宋_GB2312"/>
          <w:b w:val="0"/>
          <w:color w:val="000000" w:themeColor="text1"/>
          <w:szCs w:val="32"/>
          <w14:textFill>
            <w14:solidFill>
              <w14:schemeClr w14:val="tx1"/>
            </w14:solidFill>
          </w14:textFill>
        </w:rPr>
      </w:pPr>
      <w:r>
        <w:rPr>
          <w:rFonts w:hint="eastAsia" w:ascii="方正仿宋简体" w:hAnsi="仿宋_GB2312" w:eastAsia="方正仿宋简体" w:cs="仿宋_GB2312"/>
          <w:b w:val="0"/>
          <w:color w:val="000000" w:themeColor="text1"/>
          <w:szCs w:val="32"/>
          <w14:textFill>
            <w14:solidFill>
              <w14:schemeClr w14:val="tx1"/>
            </w14:solidFill>
          </w14:textFill>
        </w:rPr>
        <w:t>详见附件</w:t>
      </w:r>
      <w:r>
        <w:rPr>
          <w:rFonts w:ascii="方正仿宋简体" w:hAnsi="仿宋_GB2312" w:eastAsia="方正仿宋简体" w:cs="仿宋_GB2312"/>
          <w:b w:val="0"/>
          <w:color w:val="000000" w:themeColor="text1"/>
          <w:szCs w:val="32"/>
          <w14:textFill>
            <w14:solidFill>
              <w14:schemeClr w14:val="tx1"/>
            </w14:solidFill>
          </w14:textFill>
        </w:rPr>
        <w:t>2</w:t>
      </w:r>
      <w:r>
        <w:rPr>
          <w:rFonts w:hint="eastAsia" w:ascii="方正仿宋简体" w:hAnsi="仿宋_GB2312" w:eastAsia="方正仿宋简体" w:cs="仿宋_GB2312"/>
          <w:b w:val="0"/>
          <w:color w:val="000000" w:themeColor="text1"/>
          <w:szCs w:val="32"/>
          <w14:textFill>
            <w14:solidFill>
              <w14:schemeClr w14:val="tx1"/>
            </w14:solidFill>
          </w14:textFill>
        </w:rPr>
        <w:t>：</w:t>
      </w:r>
      <w:r>
        <w:rPr>
          <w:rFonts w:ascii="方正仿宋简体" w:hAnsi="仿宋_GB2312" w:eastAsia="方正仿宋简体" w:cs="仿宋_GB2312"/>
          <w:b w:val="0"/>
          <w:color w:val="000000" w:themeColor="text1"/>
          <w:szCs w:val="32"/>
          <w14:textFill>
            <w14:solidFill>
              <w14:schemeClr w14:val="tx1"/>
            </w14:solidFill>
          </w14:textFill>
        </w:rPr>
        <w:t>镇江海纳川物流产业发展有限公司危险化学品仓储及装卸装置HAZOP分析报告</w:t>
      </w:r>
      <w:r>
        <w:rPr>
          <w:rFonts w:hint="eastAsia" w:ascii="方正仿宋简体" w:hAnsi="仿宋_GB2312" w:eastAsia="方正仿宋简体" w:cs="仿宋_GB2312"/>
          <w:b w:val="0"/>
          <w:color w:val="FF0000"/>
          <w:szCs w:val="32"/>
        </w:rPr>
        <w:t>（内部</w:t>
      </w:r>
      <w:r>
        <w:rPr>
          <w:rFonts w:ascii="方正仿宋简体" w:hAnsi="仿宋_GB2312" w:eastAsia="方正仿宋简体" w:cs="仿宋_GB2312"/>
          <w:b w:val="0"/>
          <w:color w:val="FF0000"/>
          <w:szCs w:val="32"/>
        </w:rPr>
        <w:t>文件，不</w:t>
      </w:r>
      <w:r>
        <w:rPr>
          <w:rFonts w:hint="eastAsia" w:ascii="方正仿宋简体" w:hAnsi="仿宋_GB2312" w:eastAsia="方正仿宋简体" w:cs="仿宋_GB2312"/>
          <w:b w:val="0"/>
          <w:color w:val="FF0000"/>
          <w:szCs w:val="32"/>
        </w:rPr>
        <w:t>便</w:t>
      </w:r>
      <w:r>
        <w:rPr>
          <w:rFonts w:ascii="方正仿宋简体" w:hAnsi="仿宋_GB2312" w:eastAsia="方正仿宋简体" w:cs="仿宋_GB2312"/>
          <w:b w:val="0"/>
          <w:color w:val="FF0000"/>
          <w:szCs w:val="32"/>
        </w:rPr>
        <w:t>公开</w:t>
      </w:r>
      <w:r>
        <w:rPr>
          <w:rFonts w:hint="eastAsia" w:ascii="方正仿宋简体" w:hAnsi="仿宋_GB2312" w:eastAsia="方正仿宋简体" w:cs="仿宋_GB2312"/>
          <w:b w:val="0"/>
          <w:color w:val="FF0000"/>
          <w:szCs w:val="32"/>
        </w:rPr>
        <w:t>，</w:t>
      </w:r>
      <w:r>
        <w:rPr>
          <w:rFonts w:ascii="方正仿宋简体" w:hAnsi="仿宋_GB2312" w:eastAsia="方正仿宋简体" w:cs="仿宋_GB2312"/>
          <w:b w:val="0"/>
          <w:color w:val="FF0000"/>
          <w:szCs w:val="32"/>
        </w:rPr>
        <w:t>有投标</w:t>
      </w:r>
      <w:r>
        <w:rPr>
          <w:rFonts w:hint="eastAsia" w:ascii="方正仿宋简体" w:hAnsi="仿宋_GB2312" w:eastAsia="方正仿宋简体" w:cs="仿宋_GB2312"/>
          <w:b w:val="0"/>
          <w:color w:val="FF0000"/>
          <w:szCs w:val="32"/>
        </w:rPr>
        <w:t>意向</w:t>
      </w:r>
      <w:r>
        <w:rPr>
          <w:rFonts w:ascii="方正仿宋简体" w:hAnsi="仿宋_GB2312" w:eastAsia="方正仿宋简体" w:cs="仿宋_GB2312"/>
          <w:b w:val="0"/>
          <w:color w:val="FF0000"/>
          <w:szCs w:val="32"/>
        </w:rPr>
        <w:t>单位可以与</w:t>
      </w:r>
      <w:r>
        <w:rPr>
          <w:rFonts w:hint="eastAsia" w:ascii="方正仿宋简体" w:hAnsi="仿宋_GB2312" w:eastAsia="方正仿宋简体" w:cs="仿宋_GB2312"/>
          <w:b w:val="0"/>
          <w:color w:val="FF0000"/>
          <w:szCs w:val="32"/>
        </w:rPr>
        <w:t>技术部门</w:t>
      </w:r>
      <w:r>
        <w:rPr>
          <w:rFonts w:ascii="方正仿宋简体" w:hAnsi="仿宋_GB2312" w:eastAsia="方正仿宋简体" w:cs="仿宋_GB2312"/>
          <w:b w:val="0"/>
          <w:color w:val="FF0000"/>
          <w:szCs w:val="32"/>
        </w:rPr>
        <w:t>联系人</w:t>
      </w:r>
      <w:r>
        <w:rPr>
          <w:rFonts w:hint="eastAsia" w:ascii="方正仿宋简体" w:hAnsi="仿宋_GB2312" w:eastAsia="方正仿宋简体" w:cs="仿宋_GB2312"/>
          <w:b w:val="0"/>
          <w:color w:val="FF0000"/>
          <w:szCs w:val="32"/>
        </w:rPr>
        <w:t>联系。）</w:t>
      </w:r>
    </w:p>
    <w:p>
      <w:pPr>
        <w:pStyle w:val="2"/>
        <w:pageBreakBefore w:val="0"/>
        <w:widowControl w:val="0"/>
        <w:kinsoku/>
        <w:overflowPunct/>
        <w:topLinePunct w:val="0"/>
        <w:autoSpaceDE/>
        <w:autoSpaceDN/>
        <w:bidi w:val="0"/>
        <w:adjustRightInd/>
        <w:snapToGrid/>
        <w:spacing w:before="0" w:after="0" w:line="600" w:lineRule="exact"/>
        <w:ind w:firstLine="960" w:firstLineChars="300"/>
        <w:textAlignment w:val="auto"/>
        <w:rPr>
          <w:rFonts w:ascii="方正仿宋简体" w:hAnsi="仿宋_GB2312" w:eastAsia="方正仿宋简体" w:cs="仿宋_GB2312"/>
          <w:b w:val="0"/>
          <w:color w:val="000000" w:themeColor="text1"/>
          <w:szCs w:val="32"/>
          <w14:textFill>
            <w14:solidFill>
              <w14:schemeClr w14:val="tx1"/>
            </w14:solidFill>
          </w14:textFill>
        </w:rPr>
      </w:pPr>
      <w:r>
        <w:rPr>
          <w:rFonts w:hint="eastAsia" w:ascii="方正仿宋简体" w:hAnsi="仿宋_GB2312" w:eastAsia="方正仿宋简体" w:cs="仿宋_GB2312"/>
          <w:b w:val="0"/>
          <w:color w:val="000000" w:themeColor="text1"/>
          <w:szCs w:val="32"/>
          <w14:textFill>
            <w14:solidFill>
              <w14:schemeClr w14:val="tx1"/>
            </w14:solidFill>
          </w14:textFill>
        </w:rPr>
        <w:t>附件</w:t>
      </w:r>
      <w:r>
        <w:rPr>
          <w:rFonts w:ascii="方正仿宋简体" w:hAnsi="仿宋_GB2312" w:eastAsia="方正仿宋简体" w:cs="仿宋_GB2312"/>
          <w:b w:val="0"/>
          <w:color w:val="000000" w:themeColor="text1"/>
          <w:szCs w:val="32"/>
          <w14:textFill>
            <w14:solidFill>
              <w14:schemeClr w14:val="tx1"/>
            </w14:solidFill>
          </w14:textFill>
        </w:rPr>
        <w:t>3：</w:t>
      </w:r>
      <w:r>
        <w:rPr>
          <w:rFonts w:hint="eastAsia" w:ascii="方正仿宋简体" w:hAnsi="仿宋_GB2312" w:eastAsia="方正仿宋简体" w:cs="仿宋_GB2312"/>
          <w:b w:val="0"/>
          <w:color w:val="000000" w:themeColor="text1"/>
          <w:szCs w:val="32"/>
          <w14:textFill>
            <w14:solidFill>
              <w14:schemeClr w14:val="tx1"/>
            </w14:solidFill>
          </w14:textFill>
        </w:rPr>
        <w:t>镇江海纳川物流产业发展有限公司</w:t>
      </w:r>
      <w:r>
        <w:rPr>
          <w:rFonts w:ascii="方正仿宋简体" w:hAnsi="仿宋_GB2312" w:eastAsia="方正仿宋简体" w:cs="仿宋_GB2312"/>
          <w:b w:val="0"/>
          <w:color w:val="000000" w:themeColor="text1"/>
          <w:szCs w:val="32"/>
          <w14:textFill>
            <w14:solidFill>
              <w14:schemeClr w14:val="tx1"/>
            </w14:solidFill>
          </w14:textFill>
        </w:rPr>
        <w:t>危险化学品仓储及装卸装置</w:t>
      </w:r>
      <w:r>
        <w:rPr>
          <w:rFonts w:hint="eastAsia" w:ascii="方正仿宋简体" w:hAnsi="仿宋_GB2312" w:eastAsia="方正仿宋简体" w:cs="仿宋_GB2312"/>
          <w:b w:val="0"/>
          <w:color w:val="000000" w:themeColor="text1"/>
          <w:szCs w:val="32"/>
          <w14:textFill>
            <w14:solidFill>
              <w14:schemeClr w14:val="tx1"/>
            </w14:solidFill>
          </w14:textFill>
        </w:rPr>
        <w:t>LOPA分析及SIL定级报告</w:t>
      </w:r>
      <w:r>
        <w:rPr>
          <w:rFonts w:hint="eastAsia" w:ascii="方正仿宋简体" w:hAnsi="仿宋_GB2312" w:eastAsia="方正仿宋简体" w:cs="仿宋_GB2312"/>
          <w:b w:val="0"/>
          <w:color w:val="FF0000"/>
          <w:szCs w:val="32"/>
        </w:rPr>
        <w:t>（内部</w:t>
      </w:r>
      <w:r>
        <w:rPr>
          <w:rFonts w:ascii="方正仿宋简体" w:hAnsi="仿宋_GB2312" w:eastAsia="方正仿宋简体" w:cs="仿宋_GB2312"/>
          <w:b w:val="0"/>
          <w:color w:val="FF0000"/>
          <w:szCs w:val="32"/>
        </w:rPr>
        <w:t>文件，不</w:t>
      </w:r>
      <w:r>
        <w:rPr>
          <w:rFonts w:hint="eastAsia" w:ascii="方正仿宋简体" w:hAnsi="仿宋_GB2312" w:eastAsia="方正仿宋简体" w:cs="仿宋_GB2312"/>
          <w:b w:val="0"/>
          <w:color w:val="FF0000"/>
          <w:szCs w:val="32"/>
        </w:rPr>
        <w:t>便</w:t>
      </w:r>
      <w:r>
        <w:rPr>
          <w:rFonts w:ascii="方正仿宋简体" w:hAnsi="仿宋_GB2312" w:eastAsia="方正仿宋简体" w:cs="仿宋_GB2312"/>
          <w:b w:val="0"/>
          <w:color w:val="FF0000"/>
          <w:szCs w:val="32"/>
        </w:rPr>
        <w:t>公开</w:t>
      </w:r>
      <w:r>
        <w:rPr>
          <w:rFonts w:hint="eastAsia" w:ascii="方正仿宋简体" w:hAnsi="仿宋_GB2312" w:eastAsia="方正仿宋简体" w:cs="仿宋_GB2312"/>
          <w:b w:val="0"/>
          <w:color w:val="FF0000"/>
          <w:szCs w:val="32"/>
        </w:rPr>
        <w:t>，</w:t>
      </w:r>
      <w:r>
        <w:rPr>
          <w:rFonts w:ascii="方正仿宋简体" w:hAnsi="仿宋_GB2312" w:eastAsia="方正仿宋简体" w:cs="仿宋_GB2312"/>
          <w:b w:val="0"/>
          <w:color w:val="FF0000"/>
          <w:szCs w:val="32"/>
        </w:rPr>
        <w:t>有投标</w:t>
      </w:r>
      <w:r>
        <w:rPr>
          <w:rFonts w:hint="eastAsia" w:ascii="方正仿宋简体" w:hAnsi="仿宋_GB2312" w:eastAsia="方正仿宋简体" w:cs="仿宋_GB2312"/>
          <w:b w:val="0"/>
          <w:color w:val="FF0000"/>
          <w:szCs w:val="32"/>
        </w:rPr>
        <w:t>意向</w:t>
      </w:r>
      <w:r>
        <w:rPr>
          <w:rFonts w:ascii="方正仿宋简体" w:hAnsi="仿宋_GB2312" w:eastAsia="方正仿宋简体" w:cs="仿宋_GB2312"/>
          <w:b w:val="0"/>
          <w:color w:val="FF0000"/>
          <w:szCs w:val="32"/>
        </w:rPr>
        <w:t>单位可以与</w:t>
      </w:r>
      <w:r>
        <w:rPr>
          <w:rFonts w:hint="eastAsia" w:ascii="方正仿宋简体" w:hAnsi="仿宋_GB2312" w:eastAsia="方正仿宋简体" w:cs="仿宋_GB2312"/>
          <w:b w:val="0"/>
          <w:color w:val="FF0000"/>
          <w:szCs w:val="32"/>
        </w:rPr>
        <w:t>技术部门</w:t>
      </w:r>
      <w:r>
        <w:rPr>
          <w:rFonts w:ascii="方正仿宋简体" w:hAnsi="仿宋_GB2312" w:eastAsia="方正仿宋简体" w:cs="仿宋_GB2312"/>
          <w:b w:val="0"/>
          <w:color w:val="FF0000"/>
          <w:szCs w:val="32"/>
        </w:rPr>
        <w:t>联系人</w:t>
      </w:r>
      <w:r>
        <w:rPr>
          <w:rFonts w:hint="eastAsia" w:ascii="方正仿宋简体" w:hAnsi="仿宋_GB2312" w:eastAsia="方正仿宋简体" w:cs="仿宋_GB2312"/>
          <w:b w:val="0"/>
          <w:color w:val="FF0000"/>
          <w:szCs w:val="32"/>
        </w:rPr>
        <w:t>联系。）</w:t>
      </w:r>
    </w:p>
    <w:p>
      <w:pPr>
        <w:pStyle w:val="2"/>
        <w:pageBreakBefore w:val="0"/>
        <w:widowControl w:val="0"/>
        <w:kinsoku/>
        <w:overflowPunct/>
        <w:topLinePunct w:val="0"/>
        <w:autoSpaceDE/>
        <w:autoSpaceDN/>
        <w:bidi w:val="0"/>
        <w:adjustRightInd/>
        <w:snapToGrid/>
        <w:spacing w:before="0" w:after="0" w:line="600" w:lineRule="exact"/>
        <w:ind w:firstLine="960" w:firstLineChars="300"/>
        <w:textAlignment w:val="auto"/>
        <w:rPr>
          <w:rFonts w:ascii="方正仿宋简体" w:hAnsi="仿宋_GB2312" w:eastAsia="方正仿宋简体" w:cs="仿宋_GB2312"/>
          <w:b w:val="0"/>
          <w:szCs w:val="32"/>
        </w:rPr>
      </w:pPr>
      <w:r>
        <w:rPr>
          <w:rFonts w:hint="eastAsia" w:ascii="方正仿宋简体" w:hAnsi="仿宋_GB2312" w:eastAsia="方正仿宋简体" w:cs="仿宋_GB2312"/>
          <w:b w:val="0"/>
          <w:szCs w:val="32"/>
        </w:rPr>
        <w:t>附件</w:t>
      </w:r>
      <w:r>
        <w:rPr>
          <w:rFonts w:ascii="方正仿宋简体" w:hAnsi="仿宋_GB2312" w:eastAsia="方正仿宋简体" w:cs="仿宋_GB2312"/>
          <w:b w:val="0"/>
          <w:szCs w:val="32"/>
        </w:rPr>
        <w:t>4</w:t>
      </w:r>
      <w:r>
        <w:rPr>
          <w:rFonts w:hint="eastAsia" w:ascii="方正仿宋简体" w:hAnsi="仿宋_GB2312" w:eastAsia="方正仿宋简体" w:cs="仿宋_GB2312"/>
          <w:b w:val="0"/>
          <w:szCs w:val="32"/>
        </w:rPr>
        <w:t>：SIS系统及仪表SIL认证证书</w:t>
      </w:r>
    </w:p>
    <w:p>
      <w:pPr>
        <w:pageBreakBefore w:val="0"/>
        <w:widowControl w:val="0"/>
        <w:tabs>
          <w:tab w:val="left" w:pos="180"/>
        </w:tabs>
        <w:kinsoku/>
        <w:wordWrap w:val="0"/>
        <w:overflowPunct/>
        <w:topLinePunct w:val="0"/>
        <w:autoSpaceDE/>
        <w:autoSpaceDN/>
        <w:bidi w:val="0"/>
        <w:adjustRightInd/>
        <w:snapToGrid/>
        <w:spacing w:line="600" w:lineRule="exact"/>
        <w:ind w:firstLine="640" w:firstLineChars="200"/>
        <w:jc w:val="left"/>
        <w:textAlignment w:val="auto"/>
        <w:rPr>
          <w:rFonts w:ascii="方正仿宋简体" w:hAnsi="仿宋_GB2312" w:eastAsia="方正仿宋简体" w:cs="仿宋_GB2312"/>
          <w:color w:val="000000" w:themeColor="text1"/>
          <w:kern w:val="1"/>
          <w:sz w:val="32"/>
          <w:szCs w:val="32"/>
          <w14:textFill>
            <w14:solidFill>
              <w14:schemeClr w14:val="tx1"/>
            </w14:solidFill>
          </w14:textFill>
        </w:rPr>
      </w:pPr>
      <w:r>
        <w:rPr>
          <w:rFonts w:ascii="方正仿宋简体" w:hAnsi="仿宋_GB2312" w:eastAsia="方正仿宋简体" w:cs="仿宋_GB2312"/>
          <w:color w:val="000000" w:themeColor="text1"/>
          <w:kern w:val="1"/>
          <w:sz w:val="32"/>
          <w:szCs w:val="32"/>
          <w14:textFill>
            <w14:solidFill>
              <w14:schemeClr w14:val="tx1"/>
            </w14:solidFill>
          </w14:textFill>
        </w:rPr>
        <w:t>3</w:t>
      </w:r>
      <w:r>
        <w:rPr>
          <w:rFonts w:hint="eastAsia" w:ascii="方正仿宋简体" w:hAnsi="仿宋_GB2312" w:eastAsia="方正仿宋简体" w:cs="仿宋_GB2312"/>
          <w:color w:val="000000" w:themeColor="text1"/>
          <w:kern w:val="1"/>
          <w:sz w:val="32"/>
          <w:szCs w:val="32"/>
          <w14:textFill>
            <w14:solidFill>
              <w14:schemeClr w14:val="tx1"/>
            </w14:solidFill>
          </w14:textFill>
        </w:rPr>
        <w:t>.质量要求及技术标准：</w:t>
      </w:r>
    </w:p>
    <w:p>
      <w:pPr>
        <w:tabs>
          <w:tab w:val="left" w:pos="180"/>
        </w:tabs>
        <w:wordWrap w:val="0"/>
        <w:spacing w:line="360" w:lineRule="auto"/>
        <w:ind w:firstLine="640" w:firstLineChars="200"/>
        <w:jc w:val="left"/>
        <w:rPr>
          <w:rFonts w:ascii="方正仿宋简体" w:hAnsi="仿宋_GB2312" w:eastAsia="方正仿宋简体" w:cs="仿宋_GB2312"/>
          <w:sz w:val="32"/>
          <w:szCs w:val="32"/>
        </w:rPr>
      </w:pPr>
      <w:r>
        <w:rPr>
          <w:rFonts w:hint="eastAsia" w:ascii="方正仿宋简体" w:hAnsi="仿宋_GB2312" w:eastAsia="方正仿宋简体" w:cs="仿宋_GB2312"/>
          <w:sz w:val="32"/>
          <w:szCs w:val="32"/>
        </w:rPr>
        <w:t>GBT 20438.1-2006 《电气、电子、可编程电子安全相关系统的功能安全》</w:t>
      </w:r>
    </w:p>
    <w:p>
      <w:pPr>
        <w:tabs>
          <w:tab w:val="left" w:pos="180"/>
        </w:tabs>
        <w:wordWrap w:val="0"/>
        <w:spacing w:line="360" w:lineRule="auto"/>
        <w:ind w:firstLine="640" w:firstLineChars="200"/>
        <w:jc w:val="left"/>
        <w:rPr>
          <w:rFonts w:ascii="方正仿宋简体" w:hAnsi="仿宋_GB2312" w:eastAsia="方正仿宋简体" w:cs="仿宋_GB2312"/>
          <w:sz w:val="32"/>
          <w:szCs w:val="32"/>
        </w:rPr>
      </w:pPr>
      <w:r>
        <w:rPr>
          <w:rFonts w:hint="eastAsia" w:ascii="方正仿宋简体" w:hAnsi="仿宋_GB2312" w:eastAsia="方正仿宋简体" w:cs="仿宋_GB2312"/>
          <w:sz w:val="32"/>
          <w:szCs w:val="32"/>
        </w:rPr>
        <w:t>GBT 21109.1-2007 《过程工业领域</w:t>
      </w:r>
      <w:bookmarkStart w:id="2" w:name="_GoBack"/>
      <w:bookmarkEnd w:id="2"/>
      <w:r>
        <w:rPr>
          <w:rFonts w:hint="eastAsia" w:ascii="方正仿宋简体" w:hAnsi="仿宋_GB2312" w:eastAsia="方正仿宋简体" w:cs="仿宋_GB2312"/>
          <w:sz w:val="32"/>
          <w:szCs w:val="32"/>
        </w:rPr>
        <w:t>安全仪表系统的功能安全》</w:t>
      </w:r>
    </w:p>
    <w:p>
      <w:pPr>
        <w:tabs>
          <w:tab w:val="left" w:pos="180"/>
        </w:tabs>
        <w:wordWrap w:val="0"/>
        <w:spacing w:line="360" w:lineRule="auto"/>
        <w:ind w:firstLine="640" w:firstLineChars="200"/>
        <w:jc w:val="left"/>
        <w:rPr>
          <w:rFonts w:ascii="方正仿宋简体" w:hAnsi="仿宋_GB2312" w:eastAsia="方正仿宋简体" w:cs="仿宋_GB2312"/>
          <w:sz w:val="32"/>
          <w:szCs w:val="32"/>
        </w:rPr>
      </w:pPr>
      <w:r>
        <w:rPr>
          <w:rFonts w:hint="eastAsia" w:ascii="方正仿宋简体" w:hAnsi="仿宋_GB2312" w:eastAsia="方正仿宋简体" w:cs="仿宋_GB2312"/>
          <w:sz w:val="32"/>
          <w:szCs w:val="32"/>
        </w:rPr>
        <w:t>GBT 50770-2013 《石油化工安全仪表系统设计规范》</w:t>
      </w:r>
    </w:p>
    <w:p>
      <w:pPr>
        <w:tabs>
          <w:tab w:val="left" w:pos="180"/>
        </w:tabs>
        <w:wordWrap w:val="0"/>
        <w:spacing w:line="360" w:lineRule="auto"/>
        <w:ind w:firstLine="640" w:firstLineChars="200"/>
        <w:jc w:val="left"/>
        <w:rPr>
          <w:rFonts w:ascii="方正仿宋简体" w:hAnsi="仿宋_GB2312" w:eastAsia="方正仿宋简体" w:cs="仿宋_GB2312"/>
          <w:sz w:val="32"/>
          <w:szCs w:val="32"/>
        </w:rPr>
      </w:pPr>
      <w:r>
        <w:rPr>
          <w:rFonts w:hint="eastAsia" w:ascii="方正仿宋简体" w:hAnsi="仿宋_GB2312" w:eastAsia="方正仿宋简体" w:cs="仿宋_GB2312"/>
          <w:sz w:val="32"/>
          <w:szCs w:val="32"/>
        </w:rPr>
        <w:t>AQT 3054-2015 《保护层分析方法应用导则》</w:t>
      </w:r>
    </w:p>
    <w:p>
      <w:pPr>
        <w:tabs>
          <w:tab w:val="left" w:pos="180"/>
        </w:tabs>
        <w:wordWrap w:val="0"/>
        <w:spacing w:line="360" w:lineRule="auto"/>
        <w:ind w:firstLine="480" w:firstLineChars="150"/>
        <w:jc w:val="left"/>
        <w:rPr>
          <w:rFonts w:ascii="方正仿宋简体" w:hAnsi="仿宋_GB2312" w:eastAsia="方正仿宋简体" w:cs="仿宋_GB2312"/>
          <w:sz w:val="32"/>
          <w:szCs w:val="32"/>
        </w:rPr>
      </w:pPr>
      <w:r>
        <w:rPr>
          <w:rFonts w:hint="eastAsia" w:ascii="方正仿宋简体" w:hAnsi="仿宋_GB2312" w:eastAsia="方正仿宋简体" w:cs="仿宋_GB2312"/>
          <w:sz w:val="32"/>
          <w:szCs w:val="32"/>
        </w:rPr>
        <w:t xml:space="preserve"> GBT 32857-2016 《保护层分析应用指南》</w:t>
      </w:r>
    </w:p>
    <w:p>
      <w:pPr>
        <w:tabs>
          <w:tab w:val="left" w:pos="180"/>
        </w:tabs>
        <w:wordWrap w:val="0"/>
        <w:spacing w:line="360" w:lineRule="auto"/>
        <w:ind w:firstLine="640" w:firstLineChars="200"/>
        <w:jc w:val="left"/>
        <w:rPr>
          <w:rFonts w:ascii="方正仿宋简体" w:hAnsi="仿宋_GB2312" w:eastAsia="方正仿宋简体" w:cs="仿宋_GB2312"/>
          <w:sz w:val="32"/>
          <w:szCs w:val="32"/>
        </w:rPr>
      </w:pPr>
      <w:r>
        <w:rPr>
          <w:rFonts w:hint="eastAsia" w:ascii="方正仿宋简体" w:hAnsi="仿宋_GB2312" w:eastAsia="方正仿宋简体" w:cs="仿宋_GB2312"/>
          <w:sz w:val="32"/>
          <w:szCs w:val="32"/>
        </w:rPr>
        <w:t>安监三司2014年下发的116号文《关于加强化工安全仪表系统管理的指导意见》</w:t>
      </w:r>
    </w:p>
    <w:p>
      <w:pPr>
        <w:tabs>
          <w:tab w:val="left" w:pos="180"/>
        </w:tabs>
        <w:wordWrap w:val="0"/>
        <w:spacing w:line="360" w:lineRule="auto"/>
        <w:ind w:left="420" w:leftChars="200" w:firstLine="160" w:firstLineChars="50"/>
        <w:jc w:val="left"/>
        <w:rPr>
          <w:rFonts w:ascii="方正仿宋简体" w:hAnsi="仿宋_GB2312" w:eastAsia="方正仿宋简体" w:cs="仿宋_GB2312"/>
          <w:sz w:val="32"/>
          <w:szCs w:val="32"/>
        </w:rPr>
      </w:pPr>
      <w:r>
        <w:rPr>
          <w:rFonts w:hint="eastAsia" w:ascii="方正仿宋简体" w:hAnsi="仿宋_GB2312" w:eastAsia="方正仿宋简体" w:cs="仿宋_GB2312"/>
          <w:sz w:val="32"/>
          <w:szCs w:val="32"/>
        </w:rPr>
        <w:t>安监三司2015年下发的13号文《可接受风险标准》</w:t>
      </w:r>
    </w:p>
    <w:p>
      <w:pPr>
        <w:tabs>
          <w:tab w:val="left" w:pos="180"/>
        </w:tabs>
        <w:wordWrap w:val="0"/>
        <w:spacing w:line="360" w:lineRule="auto"/>
        <w:ind w:left="420" w:leftChars="200" w:firstLine="160" w:firstLineChars="50"/>
        <w:jc w:val="left"/>
        <w:rPr>
          <w:rFonts w:ascii="方正仿宋简体" w:hAnsi="仿宋_GB2312" w:eastAsia="方正仿宋简体" w:cs="仿宋_GB2312"/>
          <w:sz w:val="32"/>
          <w:szCs w:val="32"/>
        </w:rPr>
      </w:pPr>
      <w:r>
        <w:rPr>
          <w:rFonts w:hint="eastAsia" w:ascii="方正仿宋简体" w:hAnsi="仿宋_GB2312" w:eastAsia="方正仿宋简体" w:cs="仿宋_GB2312"/>
          <w:sz w:val="32"/>
          <w:szCs w:val="32"/>
        </w:rPr>
        <w:t>IEC61508电气/电子/可编程电子安全相关系统的功能安</w:t>
      </w:r>
    </w:p>
    <w:p>
      <w:pPr>
        <w:tabs>
          <w:tab w:val="left" w:pos="180"/>
        </w:tabs>
        <w:wordWrap w:val="0"/>
        <w:spacing w:line="360" w:lineRule="auto"/>
        <w:jc w:val="left"/>
        <w:rPr>
          <w:rFonts w:ascii="方正仿宋简体" w:hAnsi="仿宋_GB2312" w:eastAsia="方正仿宋简体" w:cs="仿宋_GB2312"/>
          <w:sz w:val="32"/>
          <w:szCs w:val="32"/>
        </w:rPr>
      </w:pPr>
      <w:r>
        <w:rPr>
          <w:rFonts w:hint="eastAsia" w:ascii="方正仿宋简体" w:hAnsi="仿宋_GB2312" w:eastAsia="方正仿宋简体" w:cs="仿宋_GB2312"/>
          <w:sz w:val="32"/>
          <w:szCs w:val="32"/>
        </w:rPr>
        <w:t>全</w:t>
      </w:r>
    </w:p>
    <w:p>
      <w:pPr>
        <w:tabs>
          <w:tab w:val="left" w:pos="180"/>
        </w:tabs>
        <w:wordWrap w:val="0"/>
        <w:spacing w:line="360" w:lineRule="auto"/>
        <w:ind w:left="420" w:leftChars="200" w:firstLine="160" w:firstLineChars="50"/>
        <w:jc w:val="left"/>
        <w:rPr>
          <w:rFonts w:ascii="方正仿宋简体" w:hAnsi="仿宋_GB2312" w:eastAsia="方正仿宋简体" w:cs="仿宋_GB2312"/>
          <w:sz w:val="32"/>
          <w:szCs w:val="32"/>
        </w:rPr>
      </w:pPr>
      <w:r>
        <w:rPr>
          <w:rFonts w:hint="eastAsia" w:ascii="方正仿宋简体" w:hAnsi="仿宋_GB2312" w:eastAsia="方正仿宋简体" w:cs="仿宋_GB2312"/>
          <w:sz w:val="32"/>
          <w:szCs w:val="32"/>
        </w:rPr>
        <w:t>IEC61511过程工业安全仪表系统的功能安全其他国家</w:t>
      </w:r>
    </w:p>
    <w:p>
      <w:pPr>
        <w:tabs>
          <w:tab w:val="left" w:pos="180"/>
        </w:tabs>
        <w:wordWrap w:val="0"/>
        <w:spacing w:line="360" w:lineRule="auto"/>
        <w:jc w:val="left"/>
        <w:rPr>
          <w:rFonts w:ascii="方正仿宋简体" w:hAnsi="仿宋_GB2312" w:eastAsia="方正仿宋简体" w:cs="仿宋_GB2312"/>
          <w:color w:val="FF0000"/>
          <w:kern w:val="1"/>
          <w:sz w:val="32"/>
          <w:szCs w:val="32"/>
        </w:rPr>
      </w:pPr>
      <w:r>
        <w:rPr>
          <w:rFonts w:hint="eastAsia" w:ascii="方正仿宋简体" w:hAnsi="仿宋_GB2312" w:eastAsia="方正仿宋简体" w:cs="仿宋_GB2312"/>
          <w:sz w:val="32"/>
          <w:szCs w:val="32"/>
        </w:rPr>
        <w:t>相关法律法规和标准规范</w:t>
      </w:r>
    </w:p>
    <w:p>
      <w:pPr>
        <w:tabs>
          <w:tab w:val="left" w:pos="180"/>
        </w:tabs>
        <w:wordWrap w:val="0"/>
        <w:spacing w:line="360" w:lineRule="auto"/>
        <w:ind w:firstLine="640" w:firstLineChars="200"/>
        <w:jc w:val="left"/>
        <w:rPr>
          <w:rFonts w:ascii="方正仿宋简体" w:hAnsi="仿宋_GB2312" w:eastAsia="方正仿宋简体" w:cs="仿宋_GB2312"/>
          <w:kern w:val="1"/>
          <w:sz w:val="32"/>
          <w:szCs w:val="32"/>
        </w:rPr>
      </w:pPr>
      <w:r>
        <w:rPr>
          <w:rFonts w:ascii="方正仿宋简体" w:hAnsi="仿宋_GB2312" w:eastAsia="方正仿宋简体" w:cs="仿宋_GB2312"/>
          <w:kern w:val="1"/>
          <w:sz w:val="32"/>
          <w:szCs w:val="32"/>
        </w:rPr>
        <w:t>4</w:t>
      </w:r>
      <w:r>
        <w:rPr>
          <w:rFonts w:hint="eastAsia" w:ascii="方正仿宋简体" w:hAnsi="仿宋_GB2312" w:eastAsia="方正仿宋简体" w:cs="仿宋_GB2312"/>
          <w:kern w:val="1"/>
          <w:sz w:val="32"/>
          <w:szCs w:val="32"/>
        </w:rPr>
        <w:t>.工程报价为含税价，请注明税率。</w:t>
      </w:r>
    </w:p>
    <w:p>
      <w:pPr>
        <w:wordWrap w:val="0"/>
        <w:ind w:firstLine="640" w:firstLineChars="200"/>
        <w:jc w:val="left"/>
        <w:rPr>
          <w:rFonts w:ascii="方正仿宋简体" w:hAnsi="方正仿宋简体" w:eastAsia="方正仿宋简体" w:cs="方正仿宋简体"/>
          <w:bCs/>
          <w:sz w:val="32"/>
          <w:szCs w:val="32"/>
        </w:rPr>
      </w:pPr>
      <w:r>
        <w:rPr>
          <w:rFonts w:hint="eastAsia" w:ascii="方正黑体_GBK" w:hAnsi="方正黑体_GBK" w:eastAsia="方正黑体_GBK" w:cs="方正黑体_GBK"/>
          <w:sz w:val="32"/>
          <w:szCs w:val="32"/>
        </w:rPr>
        <w:t>三、投标人资质与要求</w:t>
      </w:r>
    </w:p>
    <w:p>
      <w:pPr>
        <w:adjustRightInd w:val="0"/>
        <w:snapToGrid w:val="0"/>
        <w:spacing w:line="600" w:lineRule="exact"/>
        <w:ind w:firstLine="64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（一）投标人必须具备中华人民共和国境内生产或经营应具备的合法资质。</w:t>
      </w:r>
    </w:p>
    <w:p>
      <w:pPr>
        <w:adjustRightInd w:val="0"/>
        <w:snapToGrid w:val="0"/>
        <w:spacing w:line="600" w:lineRule="exact"/>
        <w:ind w:firstLine="64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（二）其他资质要求：</w:t>
      </w:r>
    </w:p>
    <w:p>
      <w:pPr>
        <w:wordWrap w:val="0"/>
        <w:adjustRightInd w:val="0"/>
        <w:snapToGrid w:val="0"/>
        <w:spacing w:line="600" w:lineRule="exact"/>
        <w:ind w:firstLine="640" w:firstLineChars="200"/>
        <w:jc w:val="left"/>
        <w:rPr>
          <w:rFonts w:ascii="方正仿宋简体" w:hAnsi="方正仿宋简体" w:eastAsia="方正仿宋简体" w:cs="方正仿宋简体"/>
          <w:color w:val="FF0000"/>
          <w:sz w:val="32"/>
          <w:szCs w:val="32"/>
        </w:rPr>
      </w:pPr>
      <w:r>
        <w:rPr>
          <w:rFonts w:hint="eastAsia" w:ascii="方正仿宋简体" w:hAnsi="方正仿宋简体" w:eastAsia="方正仿宋简体" w:cs="方正仿宋简体"/>
          <w:color w:val="FF0000"/>
          <w:sz w:val="32"/>
          <w:szCs w:val="32"/>
        </w:rPr>
        <w:t>1.投标时需提供</w:t>
      </w:r>
      <w:r>
        <w:rPr>
          <w:rFonts w:hint="eastAsia" w:ascii="方正仿宋简体" w:hAnsi="仿宋_GB2312" w:eastAsia="方正仿宋简体" w:cs="仿宋_GB2312"/>
          <w:color w:val="FF0000"/>
          <w:kern w:val="1"/>
          <w:sz w:val="32"/>
          <w:szCs w:val="32"/>
        </w:rPr>
        <w:t>营业执照；</w:t>
      </w:r>
      <w:r>
        <w:rPr>
          <w:rFonts w:ascii="方正仿宋简体" w:hAnsi="仿宋_GB2312" w:eastAsia="方正仿宋简体" w:cs="仿宋_GB2312"/>
          <w:color w:val="FF0000"/>
          <w:kern w:val="1"/>
          <w:sz w:val="32"/>
          <w:szCs w:val="32"/>
        </w:rPr>
        <w:t>质量管理体系</w:t>
      </w:r>
      <w:r>
        <w:rPr>
          <w:rFonts w:hint="eastAsia" w:ascii="方正仿宋简体" w:hAnsi="仿宋_GB2312" w:eastAsia="方正仿宋简体" w:cs="仿宋_GB2312"/>
          <w:color w:val="FF0000"/>
          <w:kern w:val="1"/>
          <w:sz w:val="32"/>
          <w:szCs w:val="32"/>
        </w:rPr>
        <w:t>认证</w:t>
      </w:r>
      <w:r>
        <w:rPr>
          <w:rFonts w:ascii="方正仿宋简体" w:hAnsi="仿宋_GB2312" w:eastAsia="方正仿宋简体" w:cs="仿宋_GB2312"/>
          <w:color w:val="FF0000"/>
          <w:kern w:val="1"/>
          <w:sz w:val="32"/>
          <w:szCs w:val="32"/>
        </w:rPr>
        <w:t>证书；</w:t>
      </w:r>
      <w:r>
        <w:rPr>
          <w:rFonts w:hint="eastAsia" w:ascii="方正仿宋简体" w:hAnsi="仿宋_GB2312" w:eastAsia="方正仿宋简体" w:cs="仿宋_GB2312"/>
          <w:color w:val="FF0000"/>
          <w:kern w:val="1"/>
          <w:sz w:val="32"/>
          <w:szCs w:val="32"/>
        </w:rPr>
        <w:t xml:space="preserve"> </w:t>
      </w:r>
    </w:p>
    <w:p>
      <w:pPr>
        <w:pStyle w:val="19"/>
        <w:snapToGrid w:val="0"/>
        <w:spacing w:line="520" w:lineRule="exact"/>
        <w:ind w:firstLine="640" w:firstLineChars="200"/>
        <w:jc w:val="both"/>
        <w:rPr>
          <w:rFonts w:ascii="方正仿宋简体" w:hAnsi="方正仿宋简体" w:eastAsia="方正仿宋简体" w:cs="方正仿宋简体"/>
          <w:color w:val="auto"/>
          <w:kern w:val="1"/>
          <w:sz w:val="32"/>
          <w:szCs w:val="32"/>
        </w:rPr>
      </w:pPr>
      <w:r>
        <w:rPr>
          <w:rFonts w:hint="eastAsia" w:ascii="方正仿宋简体" w:hAnsi="方正仿宋简体" w:eastAsia="方正仿宋简体" w:cs="方正仿宋简体"/>
          <w:color w:val="auto"/>
          <w:kern w:val="1"/>
          <w:sz w:val="32"/>
          <w:szCs w:val="32"/>
        </w:rPr>
        <w:t>2</w:t>
      </w:r>
      <w:r>
        <w:rPr>
          <w:rFonts w:ascii="方正仿宋简体" w:hAnsi="方正仿宋简体" w:eastAsia="方正仿宋简体" w:cs="方正仿宋简体"/>
          <w:color w:val="auto"/>
          <w:kern w:val="1"/>
          <w:sz w:val="32"/>
          <w:szCs w:val="32"/>
        </w:rPr>
        <w:t>.</w:t>
      </w:r>
      <w:bookmarkStart w:id="0" w:name="_Hlk136588898"/>
      <w:r>
        <w:rPr>
          <w:rFonts w:hint="eastAsia" w:ascii="方正仿宋简体" w:hAnsi="方正仿宋简体" w:eastAsia="方正仿宋简体" w:cs="方正仿宋简体"/>
          <w:color w:val="auto"/>
          <w:kern w:val="1"/>
          <w:sz w:val="32"/>
          <w:szCs w:val="32"/>
        </w:rPr>
        <w:t xml:space="preserve"> 投标</w:t>
      </w:r>
      <w:r>
        <w:rPr>
          <w:rFonts w:ascii="方正仿宋简体" w:hAnsi="方正仿宋简体" w:eastAsia="方正仿宋简体" w:cs="方正仿宋简体"/>
          <w:color w:val="auto"/>
          <w:kern w:val="1"/>
          <w:sz w:val="32"/>
          <w:szCs w:val="32"/>
        </w:rPr>
        <w:t>单位</w:t>
      </w:r>
      <w:r>
        <w:rPr>
          <w:rFonts w:hint="eastAsia" w:ascii="方正仿宋简体" w:hAnsi="方正仿宋简体" w:eastAsia="方正仿宋简体" w:cs="方正仿宋简体"/>
          <w:color w:val="auto"/>
          <w:kern w:val="1"/>
          <w:sz w:val="32"/>
          <w:szCs w:val="32"/>
        </w:rPr>
        <w:t>提供5个近3年内开展过的石油化工装置或</w:t>
      </w:r>
      <w:r>
        <w:rPr>
          <w:rFonts w:ascii="方正仿宋简体" w:hAnsi="方正仿宋简体" w:eastAsia="方正仿宋简体" w:cs="方正仿宋简体"/>
          <w:color w:val="auto"/>
          <w:kern w:val="1"/>
          <w:sz w:val="32"/>
          <w:szCs w:val="32"/>
        </w:rPr>
        <w:t>危险化学品储存项目SIL</w:t>
      </w:r>
      <w:r>
        <w:rPr>
          <w:rFonts w:hint="eastAsia" w:ascii="方正仿宋简体" w:hAnsi="方正仿宋简体" w:eastAsia="方正仿宋简体" w:cs="方正仿宋简体"/>
          <w:color w:val="auto"/>
          <w:kern w:val="1"/>
          <w:sz w:val="32"/>
          <w:szCs w:val="32"/>
        </w:rPr>
        <w:t>验证业绩。（提供</w:t>
      </w:r>
      <w:r>
        <w:rPr>
          <w:rFonts w:ascii="方正仿宋简体" w:hAnsi="方正仿宋简体" w:eastAsia="方正仿宋简体" w:cs="方正仿宋简体"/>
          <w:color w:val="auto"/>
          <w:kern w:val="1"/>
          <w:sz w:val="32"/>
          <w:szCs w:val="32"/>
        </w:rPr>
        <w:t>合同首页和末页复印件</w:t>
      </w:r>
      <w:r>
        <w:rPr>
          <w:rFonts w:hint="eastAsia" w:ascii="方正仿宋简体" w:hAnsi="方正仿宋简体" w:eastAsia="方正仿宋简体" w:cs="方正仿宋简体"/>
          <w:color w:val="auto"/>
          <w:kern w:val="1"/>
          <w:sz w:val="32"/>
          <w:szCs w:val="32"/>
        </w:rPr>
        <w:t>）</w:t>
      </w:r>
    </w:p>
    <w:p>
      <w:pPr>
        <w:adjustRightInd w:val="0"/>
        <w:snapToGrid w:val="0"/>
        <w:spacing w:line="520" w:lineRule="exact"/>
        <w:ind w:firstLine="640" w:firstLineChars="200"/>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 xml:space="preserve">3. 相关人员应满足以下资质条件要求： </w:t>
      </w:r>
    </w:p>
    <w:p>
      <w:pPr>
        <w:pStyle w:val="19"/>
        <w:snapToGrid w:val="0"/>
        <w:spacing w:line="520" w:lineRule="exact"/>
        <w:ind w:left="820"/>
        <w:jc w:val="both"/>
        <w:rPr>
          <w:rFonts w:ascii="方正仿宋简体" w:hAnsi="方正仿宋简体" w:eastAsia="方正仿宋简体" w:cs="方正仿宋简体"/>
          <w:color w:val="auto"/>
          <w:kern w:val="1"/>
          <w:sz w:val="32"/>
          <w:szCs w:val="32"/>
        </w:rPr>
      </w:pPr>
      <w:bookmarkStart w:id="1" w:name="_Hlk144835758"/>
      <w:r>
        <w:rPr>
          <w:rFonts w:hint="eastAsia" w:ascii="方正仿宋简体" w:hAnsi="方正仿宋简体" w:eastAsia="方正仿宋简体" w:cs="方正仿宋简体"/>
          <w:color w:val="auto"/>
          <w:kern w:val="1"/>
          <w:sz w:val="32"/>
          <w:szCs w:val="32"/>
        </w:rPr>
        <w:t>拟委任人员</w:t>
      </w:r>
      <w:bookmarkEnd w:id="1"/>
      <w:r>
        <w:rPr>
          <w:rFonts w:hint="eastAsia" w:ascii="方正仿宋简体" w:hAnsi="方正仿宋简体" w:eastAsia="方正仿宋简体" w:cs="方正仿宋简体"/>
          <w:color w:val="auto"/>
          <w:kern w:val="1"/>
          <w:sz w:val="32"/>
          <w:szCs w:val="32"/>
        </w:rPr>
        <w:t>（2名）应具有</w:t>
      </w:r>
      <w:r>
        <w:rPr>
          <w:rFonts w:ascii="方正仿宋简体" w:hAnsi="方正仿宋简体" w:eastAsia="方正仿宋简体" w:cs="方正仿宋简体"/>
          <w:color w:val="auto"/>
          <w:kern w:val="1"/>
          <w:sz w:val="32"/>
          <w:szCs w:val="32"/>
        </w:rPr>
        <w:t>3</w:t>
      </w:r>
      <w:r>
        <w:rPr>
          <w:rFonts w:hint="eastAsia" w:ascii="方正仿宋简体" w:hAnsi="方正仿宋简体" w:eastAsia="方正仿宋简体" w:cs="方正仿宋简体"/>
          <w:color w:val="auto"/>
          <w:kern w:val="1"/>
          <w:sz w:val="32"/>
          <w:szCs w:val="32"/>
        </w:rPr>
        <w:t>年以上S</w:t>
      </w:r>
      <w:r>
        <w:rPr>
          <w:rFonts w:ascii="方正仿宋简体" w:hAnsi="方正仿宋简体" w:eastAsia="方正仿宋简体" w:cs="方正仿宋简体"/>
          <w:color w:val="auto"/>
          <w:kern w:val="1"/>
          <w:sz w:val="32"/>
          <w:szCs w:val="32"/>
        </w:rPr>
        <w:t>IL</w:t>
      </w:r>
      <w:r>
        <w:rPr>
          <w:rFonts w:hint="eastAsia" w:ascii="方正仿宋简体" w:hAnsi="方正仿宋简体" w:eastAsia="方正仿宋简体" w:cs="方正仿宋简体"/>
          <w:color w:val="auto"/>
          <w:kern w:val="1"/>
          <w:sz w:val="32"/>
          <w:szCs w:val="32"/>
        </w:rPr>
        <w:t>验证工作经历（提</w:t>
      </w:r>
    </w:p>
    <w:p>
      <w:pPr>
        <w:pStyle w:val="19"/>
        <w:snapToGrid w:val="0"/>
        <w:spacing w:line="520" w:lineRule="exact"/>
        <w:jc w:val="both"/>
        <w:rPr>
          <w:rFonts w:ascii="方正仿宋简体" w:hAnsi="方正仿宋简体" w:eastAsia="方正仿宋简体" w:cs="方正仿宋简体"/>
          <w:color w:val="auto"/>
          <w:kern w:val="1"/>
          <w:sz w:val="32"/>
          <w:szCs w:val="32"/>
        </w:rPr>
      </w:pPr>
      <w:r>
        <w:rPr>
          <w:rFonts w:hint="eastAsia" w:ascii="方正仿宋简体" w:hAnsi="方正仿宋简体" w:eastAsia="方正仿宋简体" w:cs="方正仿宋简体"/>
          <w:color w:val="auto"/>
          <w:kern w:val="1"/>
          <w:sz w:val="32"/>
          <w:szCs w:val="32"/>
        </w:rPr>
        <w:t>供TUV功能安全工程师</w:t>
      </w:r>
      <w:r>
        <w:rPr>
          <w:rFonts w:ascii="方正仿宋简体" w:hAnsi="方正仿宋简体" w:eastAsia="方正仿宋简体" w:cs="方正仿宋简体"/>
          <w:color w:val="auto"/>
          <w:kern w:val="1"/>
          <w:sz w:val="32"/>
          <w:szCs w:val="32"/>
        </w:rPr>
        <w:t>证书</w:t>
      </w:r>
      <w:r>
        <w:rPr>
          <w:rFonts w:hint="eastAsia" w:ascii="方正仿宋简体" w:hAnsi="方正仿宋简体" w:eastAsia="方正仿宋简体" w:cs="方正仿宋简体"/>
          <w:color w:val="auto"/>
          <w:kern w:val="1"/>
          <w:sz w:val="32"/>
          <w:szCs w:val="32"/>
        </w:rPr>
        <w:t>）并是投标单位工作满两年的正式员工（出具单位社保证明）。</w:t>
      </w:r>
      <w:bookmarkEnd w:id="0"/>
    </w:p>
    <w:p>
      <w:pPr>
        <w:pStyle w:val="19"/>
        <w:snapToGrid w:val="0"/>
        <w:spacing w:line="520" w:lineRule="exact"/>
        <w:jc w:val="both"/>
        <w:rPr>
          <w:rFonts w:ascii="方正仿宋简体" w:hAnsi="方正仿宋简体" w:eastAsia="方正仿宋简体" w:cs="方正仿宋简体"/>
          <w:color w:val="auto"/>
          <w:kern w:val="1"/>
          <w:sz w:val="32"/>
          <w:szCs w:val="32"/>
        </w:rPr>
      </w:pPr>
      <w:r>
        <w:rPr>
          <w:rFonts w:hint="eastAsia" w:ascii="方正仿宋简体" w:hAnsi="方正仿宋简体" w:eastAsia="方正仿宋简体" w:cs="方正仿宋简体"/>
          <w:color w:val="auto"/>
          <w:kern w:val="1"/>
          <w:sz w:val="32"/>
          <w:szCs w:val="32"/>
        </w:rPr>
        <w:t xml:space="preserve">   </w:t>
      </w:r>
      <w:r>
        <w:rPr>
          <w:rFonts w:hint="eastAsia" w:ascii="方正仿宋简体" w:hAnsi="仿宋_GB2312" w:eastAsia="方正仿宋简体" w:cs="仿宋_GB2312"/>
          <w:color w:val="FF0000"/>
          <w:kern w:val="1"/>
          <w:sz w:val="32"/>
          <w:szCs w:val="32"/>
        </w:rPr>
        <w:t>（以上资格证明证件均可提供复印件，但需加盖公章）。</w:t>
      </w:r>
    </w:p>
    <w:p>
      <w:pPr>
        <w:wordWrap w:val="0"/>
        <w:adjustRightInd w:val="0"/>
        <w:snapToGrid w:val="0"/>
        <w:spacing w:line="600" w:lineRule="exact"/>
        <w:ind w:firstLine="640" w:firstLineChars="200"/>
        <w:jc w:val="left"/>
        <w:rPr>
          <w:rFonts w:ascii="方正仿宋简体" w:hAnsi="方正仿宋简体" w:eastAsia="方正仿宋简体" w:cs="方正仿宋简体"/>
          <w:kern w:val="1"/>
          <w:sz w:val="32"/>
          <w:szCs w:val="32"/>
        </w:rPr>
      </w:pPr>
      <w:r>
        <w:rPr>
          <w:rFonts w:ascii="方正仿宋简体" w:hAnsi="方正仿宋简体" w:eastAsia="方正仿宋简体" w:cs="方正仿宋简体"/>
          <w:kern w:val="1"/>
          <w:sz w:val="32"/>
          <w:szCs w:val="32"/>
        </w:rPr>
        <w:t>4</w:t>
      </w:r>
      <w:r>
        <w:rPr>
          <w:rFonts w:hint="eastAsia" w:ascii="方正仿宋简体" w:hAnsi="方正仿宋简体" w:eastAsia="方正仿宋简体" w:cs="方正仿宋简体"/>
          <w:kern w:val="1"/>
          <w:sz w:val="32"/>
          <w:szCs w:val="32"/>
        </w:rPr>
        <w:t>.不接受被列入失信被执行人、重大违法案件当事人投标。</w:t>
      </w:r>
    </w:p>
    <w:p>
      <w:pPr>
        <w:wordWrap w:val="0"/>
        <w:adjustRightInd w:val="0"/>
        <w:snapToGrid w:val="0"/>
        <w:spacing w:line="600" w:lineRule="exact"/>
        <w:ind w:firstLine="640" w:firstLineChars="200"/>
        <w:jc w:val="left"/>
        <w:rPr>
          <w:rFonts w:ascii="方正仿宋简体" w:hAnsi="方正仿宋简体" w:eastAsia="方正仿宋简体" w:cs="方正仿宋简体"/>
          <w:kern w:val="1"/>
          <w:sz w:val="32"/>
          <w:szCs w:val="32"/>
        </w:rPr>
      </w:pPr>
      <w:r>
        <w:rPr>
          <w:rFonts w:ascii="方正仿宋简体" w:hAnsi="方正仿宋简体" w:eastAsia="方正仿宋简体" w:cs="方正仿宋简体"/>
          <w:kern w:val="1"/>
          <w:sz w:val="32"/>
          <w:szCs w:val="32"/>
        </w:rPr>
        <w:t>5</w:t>
      </w:r>
      <w:r>
        <w:rPr>
          <w:rFonts w:hint="eastAsia" w:ascii="方正仿宋简体" w:hAnsi="方正仿宋简体" w:eastAsia="方正仿宋简体" w:cs="方正仿宋简体"/>
          <w:kern w:val="1"/>
          <w:sz w:val="32"/>
          <w:szCs w:val="32"/>
        </w:rPr>
        <w:t>.投标人应具备良好的售后服务能力，要求电话联系后</w:t>
      </w:r>
      <w:r>
        <w:rPr>
          <w:rFonts w:hint="eastAsia" w:ascii="方正仿宋简体" w:hAnsi="方正仿宋简体" w:eastAsia="方正仿宋简体" w:cs="方正仿宋简体"/>
          <w:color w:val="FF0000"/>
          <w:kern w:val="1"/>
          <w:sz w:val="32"/>
          <w:szCs w:val="32"/>
          <w:u w:val="single"/>
        </w:rPr>
        <w:t xml:space="preserve">10 </w:t>
      </w:r>
      <w:r>
        <w:rPr>
          <w:rFonts w:hint="eastAsia" w:ascii="方正仿宋简体" w:hAnsi="方正仿宋简体" w:eastAsia="方正仿宋简体" w:cs="方正仿宋简体"/>
          <w:kern w:val="1"/>
          <w:sz w:val="32"/>
          <w:szCs w:val="32"/>
        </w:rPr>
        <w:t>分钟内必须给予回复，明确解决方案，必要时需来我公司作技术指导。</w:t>
      </w:r>
    </w:p>
    <w:p>
      <w:pPr>
        <w:wordWrap w:val="0"/>
        <w:adjustRightInd w:val="0"/>
        <w:snapToGrid w:val="0"/>
        <w:spacing w:line="600" w:lineRule="exact"/>
        <w:ind w:firstLine="640" w:firstLineChars="200"/>
        <w:jc w:val="left"/>
        <w:rPr>
          <w:rFonts w:ascii="方正仿宋简体" w:hAnsi="方正仿宋简体" w:eastAsia="方正仿宋简体" w:cs="方正仿宋简体"/>
          <w:kern w:val="1"/>
          <w:sz w:val="32"/>
          <w:szCs w:val="32"/>
        </w:rPr>
      </w:pPr>
      <w:r>
        <w:rPr>
          <w:rFonts w:ascii="方正仿宋简体" w:hAnsi="方正仿宋简体" w:eastAsia="方正仿宋简体" w:cs="方正仿宋简体"/>
          <w:kern w:val="1"/>
          <w:sz w:val="32"/>
          <w:szCs w:val="32"/>
        </w:rPr>
        <w:t>6</w:t>
      </w:r>
      <w:r>
        <w:rPr>
          <w:rFonts w:hint="eastAsia" w:ascii="方正仿宋简体" w:hAnsi="方正仿宋简体" w:eastAsia="方正仿宋简体" w:cs="方正仿宋简体"/>
          <w:kern w:val="1"/>
          <w:sz w:val="32"/>
          <w:szCs w:val="32"/>
        </w:rPr>
        <w:t>.投标人所供产品引起的知识产权方面的纠纷，由中标人承担一切后果，招标人不承担任何责任。</w:t>
      </w:r>
    </w:p>
    <w:p>
      <w:pPr>
        <w:wordWrap w:val="0"/>
        <w:ind w:firstLine="640" w:firstLineChars="200"/>
        <w:jc w:val="lef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四、现场踏勘</w:t>
      </w:r>
    </w:p>
    <w:p>
      <w:pPr>
        <w:spacing w:line="360" w:lineRule="auto"/>
        <w:ind w:firstLine="640" w:firstLineChars="200"/>
        <w:jc w:val="left"/>
        <w:rPr>
          <w:rFonts w:ascii="方正仿宋简体" w:hAnsi="仿宋_GB2312" w:eastAsia="方正仿宋简体" w:cs="仿宋_GB2312"/>
          <w:sz w:val="32"/>
          <w:szCs w:val="32"/>
        </w:rPr>
      </w:pPr>
      <w:r>
        <w:rPr>
          <w:rFonts w:hint="eastAsia" w:ascii="方正仿宋简体" w:hAnsi="仿宋_GB2312" w:eastAsia="方正仿宋简体" w:cs="仿宋_GB2312"/>
          <w:sz w:val="32"/>
          <w:szCs w:val="32"/>
        </w:rPr>
        <w:t>1.招标人会组织有意向投标人踏勘项目现场。</w:t>
      </w:r>
    </w:p>
    <w:p>
      <w:pPr>
        <w:spacing w:line="360" w:lineRule="auto"/>
        <w:ind w:firstLine="640" w:firstLineChars="200"/>
        <w:jc w:val="left"/>
        <w:rPr>
          <w:rFonts w:ascii="方正仿宋简体" w:hAnsi="仿宋_GB2312" w:eastAsia="方正仿宋简体" w:cs="仿宋_GB2312"/>
          <w:sz w:val="32"/>
          <w:szCs w:val="32"/>
        </w:rPr>
      </w:pPr>
      <w:r>
        <w:rPr>
          <w:rFonts w:hint="eastAsia" w:ascii="方正仿宋简体" w:hAnsi="仿宋_GB2312" w:eastAsia="方正仿宋简体" w:cs="仿宋_GB2312"/>
          <w:sz w:val="32"/>
          <w:szCs w:val="32"/>
        </w:rPr>
        <w:t>2.招标人在踏勘现场介绍企业情</w:t>
      </w:r>
      <w:r>
        <w:rPr>
          <w:rFonts w:ascii="方正仿宋简体" w:hAnsi="仿宋_GB2312" w:eastAsia="方正仿宋简体" w:cs="仿宋_GB2312"/>
          <w:sz w:val="32"/>
          <w:szCs w:val="32"/>
        </w:rPr>
        <w:t>况</w:t>
      </w:r>
      <w:r>
        <w:rPr>
          <w:rFonts w:hint="eastAsia" w:ascii="方正仿宋简体" w:hAnsi="仿宋_GB2312" w:eastAsia="方正仿宋简体" w:cs="仿宋_GB2312"/>
          <w:sz w:val="32"/>
          <w:szCs w:val="32"/>
        </w:rPr>
        <w:t>并</w:t>
      </w:r>
      <w:r>
        <w:rPr>
          <w:rFonts w:ascii="方正仿宋简体" w:hAnsi="仿宋_GB2312" w:eastAsia="方正仿宋简体" w:cs="仿宋_GB2312"/>
          <w:sz w:val="32"/>
          <w:szCs w:val="32"/>
        </w:rPr>
        <w:t>提供相关报告</w:t>
      </w:r>
      <w:r>
        <w:rPr>
          <w:rFonts w:hint="eastAsia" w:ascii="方正仿宋简体" w:hAnsi="仿宋_GB2312" w:eastAsia="方正仿宋简体" w:cs="仿宋_GB2312"/>
          <w:sz w:val="32"/>
          <w:szCs w:val="32"/>
        </w:rPr>
        <w:t>供投标人在编制投标文件时参考，招标人不对投标人据此作出的判断和决策负责。</w:t>
      </w:r>
    </w:p>
    <w:p>
      <w:pPr>
        <w:spacing w:line="360" w:lineRule="auto"/>
        <w:ind w:firstLine="640" w:firstLineChars="200"/>
        <w:jc w:val="left"/>
        <w:rPr>
          <w:rFonts w:ascii="方正仿宋简体" w:hAnsi="仿宋_GB2312" w:eastAsia="方正仿宋简体" w:cs="仿宋_GB2312"/>
          <w:sz w:val="32"/>
          <w:szCs w:val="32"/>
        </w:rPr>
      </w:pPr>
      <w:r>
        <w:rPr>
          <w:rFonts w:hint="eastAsia" w:ascii="方正仿宋简体" w:hAnsi="仿宋_GB2312" w:eastAsia="方正仿宋简体" w:cs="仿宋_GB2312"/>
          <w:sz w:val="32"/>
          <w:szCs w:val="32"/>
        </w:rPr>
        <w:t>3.建议投标人员到作业现场进行踏勘和</w:t>
      </w:r>
      <w:r>
        <w:rPr>
          <w:rFonts w:ascii="方正仿宋简体" w:hAnsi="仿宋_GB2312" w:eastAsia="方正仿宋简体" w:cs="仿宋_GB2312"/>
          <w:sz w:val="32"/>
          <w:szCs w:val="32"/>
        </w:rPr>
        <w:t>详细阅读</w:t>
      </w:r>
      <w:r>
        <w:rPr>
          <w:rFonts w:hint="eastAsia" w:ascii="方正仿宋简体" w:hAnsi="仿宋_GB2312" w:eastAsia="方正仿宋简体" w:cs="仿宋_GB2312"/>
          <w:sz w:val="32"/>
          <w:szCs w:val="32"/>
        </w:rPr>
        <w:t>记录</w:t>
      </w:r>
      <w:r>
        <w:rPr>
          <w:rFonts w:ascii="方正仿宋简体" w:hAnsi="仿宋_GB2312" w:eastAsia="方正仿宋简体" w:cs="仿宋_GB2312"/>
          <w:sz w:val="32"/>
          <w:szCs w:val="32"/>
        </w:rPr>
        <w:t>相关报告</w:t>
      </w:r>
      <w:r>
        <w:rPr>
          <w:rFonts w:hint="eastAsia" w:ascii="方正仿宋简体" w:hAnsi="仿宋_GB2312" w:eastAsia="方正仿宋简体" w:cs="仿宋_GB2312"/>
          <w:sz w:val="32"/>
          <w:szCs w:val="32"/>
        </w:rPr>
        <w:t>，对未踏勘造成的一切后果由投标人自行承担，现场踏勘不作为投标资格的必要条件。</w:t>
      </w:r>
    </w:p>
    <w:p>
      <w:pPr>
        <w:pStyle w:val="6"/>
        <w:spacing w:line="600" w:lineRule="exact"/>
        <w:ind w:firstLine="640" w:firstLineChars="200"/>
        <w:rPr>
          <w:rFonts w:ascii="方正黑体_GBK" w:hAnsi="方正黑体_GBK" w:eastAsia="方正黑体_GBK" w:cs="方正黑体_GBK"/>
          <w:kern w:val="2"/>
          <w:sz w:val="32"/>
          <w:szCs w:val="32"/>
        </w:rPr>
      </w:pPr>
      <w:r>
        <w:rPr>
          <w:rFonts w:hint="eastAsia" w:ascii="方正黑体_GBK" w:hAnsi="方正黑体_GBK" w:eastAsia="方正黑体_GBK" w:cs="方正黑体_GBK"/>
          <w:kern w:val="2"/>
          <w:sz w:val="32"/>
          <w:szCs w:val="32"/>
        </w:rPr>
        <w:t>五、投标</w:t>
      </w:r>
    </w:p>
    <w:p>
      <w:pPr>
        <w:pStyle w:val="6"/>
        <w:spacing w:line="600" w:lineRule="exact"/>
        <w:ind w:firstLine="640" w:firstLineChars="200"/>
        <w:rPr>
          <w:rFonts w:ascii="方正仿宋简体" w:hAnsi="方正仿宋简体" w:eastAsia="方正仿宋简体" w:cs="方正仿宋简体"/>
          <w:bCs/>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报价方式：</w:t>
      </w:r>
      <w:r>
        <w:rPr>
          <w:rFonts w:hint="eastAsia" w:ascii="方正仿宋简体" w:hAnsi="方正仿宋简体" w:eastAsia="方正仿宋简体" w:cs="方正仿宋简体"/>
          <w:bCs/>
          <w:sz w:val="32"/>
          <w:szCs w:val="32"/>
        </w:rPr>
        <w:t>报价为含增值税送到价。如国家税率调整，按合同含税价格/（1+合同约定税率）*（1+国家规定的新税率）调整合同价格开具发票；</w:t>
      </w:r>
    </w:p>
    <w:p>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付款方式</w:t>
      </w:r>
      <w:r>
        <w:rPr>
          <w:rFonts w:hint="eastAsia" w:ascii="方正仿宋简体" w:hAnsi="方正仿宋简体" w:eastAsia="方正仿宋简体" w:cs="方正仿宋简体"/>
          <w:bCs/>
          <w:color w:val="FF0000"/>
          <w:kern w:val="1"/>
          <w:sz w:val="32"/>
          <w:szCs w:val="32"/>
        </w:rPr>
        <w:t>：</w:t>
      </w:r>
      <w:r>
        <w:rPr>
          <w:rFonts w:hint="eastAsia" w:ascii="方正仿宋简体" w:hAnsi="仿宋_GB2312" w:eastAsia="方正仿宋简体" w:cs="仿宋_GB2312"/>
          <w:color w:val="FF0000"/>
          <w:kern w:val="1"/>
          <w:sz w:val="32"/>
          <w:szCs w:val="32"/>
        </w:rPr>
        <w:t>招标方在收到合格</w:t>
      </w:r>
      <w:r>
        <w:rPr>
          <w:rFonts w:ascii="方正仿宋简体" w:hAnsi="仿宋_GB2312" w:eastAsia="方正仿宋简体" w:cs="仿宋_GB2312"/>
          <w:color w:val="FF0000"/>
          <w:kern w:val="1"/>
          <w:sz w:val="32"/>
          <w:szCs w:val="32"/>
        </w:rPr>
        <w:t>的</w:t>
      </w:r>
      <w:r>
        <w:rPr>
          <w:rFonts w:hint="eastAsia" w:ascii="方正仿宋简体" w:hAnsi="仿宋_GB2312" w:eastAsia="方正仿宋简体" w:cs="仿宋_GB2312"/>
          <w:color w:val="FF0000"/>
          <w:kern w:val="1"/>
          <w:sz w:val="32"/>
          <w:szCs w:val="32"/>
        </w:rPr>
        <w:t>验证</w:t>
      </w:r>
      <w:r>
        <w:rPr>
          <w:rFonts w:ascii="方正仿宋简体" w:hAnsi="仿宋_GB2312" w:eastAsia="方正仿宋简体" w:cs="仿宋_GB2312"/>
          <w:color w:val="FF0000"/>
          <w:kern w:val="1"/>
          <w:sz w:val="32"/>
          <w:szCs w:val="32"/>
        </w:rPr>
        <w:t>报告和</w:t>
      </w:r>
      <w:r>
        <w:rPr>
          <w:rFonts w:hint="eastAsia" w:ascii="方正仿宋简体" w:hAnsi="仿宋_GB2312" w:eastAsia="方正仿宋简体" w:cs="仿宋_GB2312"/>
          <w:color w:val="FF0000"/>
          <w:kern w:val="1"/>
          <w:sz w:val="32"/>
          <w:szCs w:val="32"/>
        </w:rPr>
        <w:t>发票后</w:t>
      </w:r>
      <w:r>
        <w:rPr>
          <w:rFonts w:hint="eastAsia" w:ascii="方正仿宋简体" w:hAnsi="Calibri" w:eastAsia="方正仿宋简体" w:cs="Calibri"/>
          <w:color w:val="FF0000"/>
          <w:kern w:val="1"/>
          <w:sz w:val="32"/>
          <w:szCs w:val="32"/>
        </w:rPr>
        <w:t> </w:t>
      </w:r>
      <w:r>
        <w:rPr>
          <w:rFonts w:hint="eastAsia" w:ascii="方正仿宋简体" w:hAnsi="仿宋_GB2312" w:eastAsia="方正仿宋简体" w:cs="仿宋_GB2312"/>
          <w:color w:val="FF0000"/>
          <w:kern w:val="1"/>
          <w:sz w:val="32"/>
          <w:szCs w:val="32"/>
        </w:rPr>
        <w:t>60 日内以网银</w:t>
      </w:r>
      <w:r>
        <w:rPr>
          <w:rFonts w:ascii="方正仿宋简体" w:hAnsi="仿宋_GB2312" w:eastAsia="方正仿宋简体" w:cs="仿宋_GB2312"/>
          <w:color w:val="FF0000"/>
          <w:kern w:val="1"/>
          <w:sz w:val="32"/>
          <w:szCs w:val="32"/>
        </w:rPr>
        <w:t>付款</w:t>
      </w:r>
      <w:r>
        <w:rPr>
          <w:rFonts w:hint="eastAsia" w:ascii="方正仿宋简体" w:hAnsi="仿宋_GB2312" w:eastAsia="方正仿宋简体" w:cs="仿宋_GB2312"/>
          <w:color w:val="FF0000"/>
          <w:kern w:val="1"/>
          <w:sz w:val="32"/>
          <w:szCs w:val="32"/>
        </w:rPr>
        <w:t>方式付款</w:t>
      </w:r>
      <w:r>
        <w:rPr>
          <w:rFonts w:hint="eastAsia" w:ascii="方正仿宋简体" w:hAnsi="仿宋_GB2312" w:eastAsia="方正仿宋简体" w:cs="仿宋_GB2312"/>
          <w:kern w:val="1"/>
          <w:sz w:val="32"/>
          <w:szCs w:val="32"/>
        </w:rPr>
        <w:t>。</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bCs/>
          <w:kern w:val="0"/>
          <w:sz w:val="32"/>
          <w:szCs w:val="32"/>
        </w:rPr>
        <w:t>如投标人不接受招标人提出的付款方式，可在报价书中明确能够接受的付款方式及付款时间，评标时作为参考。报价为含税价，请注明税率。</w:t>
      </w:r>
      <w:r>
        <w:rPr>
          <w:rFonts w:hint="eastAsia" w:ascii="方正仿宋简体" w:hAnsi="方正仿宋简体" w:eastAsia="方正仿宋简体" w:cs="方正仿宋简体"/>
          <w:bCs/>
          <w:kern w:val="1"/>
          <w:sz w:val="32"/>
          <w:szCs w:val="32"/>
        </w:rPr>
        <w:t>）</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本项目投标通过</w:t>
      </w:r>
      <w:r>
        <w:rPr>
          <w:rFonts w:hint="eastAsia" w:ascii="方正仿宋简体" w:hAnsi="方正仿宋简体" w:eastAsia="方正仿宋简体" w:cs="方正仿宋简体"/>
          <w:bCs/>
          <w:color w:val="FF0000"/>
          <w:kern w:val="1"/>
          <w:sz w:val="32"/>
          <w:szCs w:val="32"/>
        </w:rPr>
        <w:t>线下</w:t>
      </w:r>
      <w:r>
        <w:rPr>
          <w:rFonts w:hint="eastAsia" w:ascii="方正仿宋简体" w:hAnsi="方正仿宋简体" w:eastAsia="方正仿宋简体" w:cs="方正仿宋简体"/>
          <w:bCs/>
          <w:kern w:val="1"/>
          <w:sz w:val="32"/>
          <w:szCs w:val="32"/>
        </w:rPr>
        <w:t>方式进行：</w:t>
      </w:r>
    </w:p>
    <w:p>
      <w:pPr>
        <w:wordWrap w:val="0"/>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bCs/>
          <w:kern w:val="1"/>
          <w:sz w:val="32"/>
          <w:szCs w:val="32"/>
        </w:rPr>
        <w:t>采用线下投标应</w:t>
      </w:r>
      <w:r>
        <w:rPr>
          <w:rFonts w:hint="eastAsia" w:ascii="方正仿宋简体" w:hAnsi="方正仿宋简体" w:eastAsia="方正仿宋简体" w:cs="方正仿宋简体"/>
          <w:bCs/>
          <w:sz w:val="32"/>
          <w:szCs w:val="32"/>
        </w:rPr>
        <w:t>将报价书及相关资料以标袋形式送达，标袋外包装必须用“封条”密封，封条“格式自定”，另需加盖公章、法人章，填写密封日期；在标袋封面上需注明“投标项目名称，投标方名称、地址、联系人、联系电话”等；</w:t>
      </w:r>
      <w:r>
        <w:rPr>
          <w:rFonts w:hint="eastAsia" w:ascii="方正仿宋简体" w:hAnsi="方正仿宋简体" w:eastAsia="方正仿宋简体" w:cs="方正仿宋简体"/>
          <w:kern w:val="1"/>
          <w:sz w:val="32"/>
          <w:szCs w:val="32"/>
        </w:rPr>
        <w:t>并要求在投标截止日之前送达，逾期将作为作废标处理。</w:t>
      </w:r>
    </w:p>
    <w:p>
      <w:pPr>
        <w:pStyle w:val="5"/>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kern w:val="1"/>
          <w:sz w:val="32"/>
          <w:szCs w:val="32"/>
        </w:rPr>
        <w:t>（四）</w:t>
      </w:r>
      <w:r>
        <w:rPr>
          <w:rFonts w:hint="eastAsia" w:ascii="方正仿宋简体" w:hAnsi="方正仿宋简体" w:eastAsia="方正仿宋简体" w:cs="方正仿宋简体"/>
          <w:kern w:val="1"/>
          <w:sz w:val="32"/>
          <w:szCs w:val="32"/>
        </w:rPr>
        <w:t>具体报价格式见报价函，报价文件需提供</w:t>
      </w:r>
      <w:r>
        <w:rPr>
          <w:rFonts w:hint="eastAsia" w:ascii="方正仿宋简体" w:hAnsi="方正仿宋简体" w:eastAsia="方正仿宋简体" w:cs="方正仿宋简体"/>
          <w:color w:val="FF0000"/>
          <w:kern w:val="1"/>
          <w:sz w:val="32"/>
          <w:szCs w:val="32"/>
          <w:u w:val="single"/>
        </w:rPr>
        <w:t xml:space="preserve"> 1 </w:t>
      </w:r>
      <w:r>
        <w:rPr>
          <w:rFonts w:hint="eastAsia" w:ascii="方正仿宋简体" w:hAnsi="方正仿宋简体" w:eastAsia="方正仿宋简体" w:cs="方正仿宋简体"/>
          <w:kern w:val="1"/>
          <w:sz w:val="32"/>
          <w:szCs w:val="32"/>
        </w:rPr>
        <w:t>份；</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（五）</w:t>
      </w:r>
      <w:r>
        <w:rPr>
          <w:rFonts w:hint="eastAsia" w:ascii="方正仿宋简体" w:hAnsi="方正仿宋简体" w:eastAsia="方正仿宋简体" w:cs="方正仿宋简体"/>
          <w:bCs/>
          <w:kern w:val="1"/>
          <w:sz w:val="32"/>
          <w:szCs w:val="32"/>
        </w:rPr>
        <w:t>采用线下投标的，投标文件请密封邮寄：</w:t>
      </w:r>
    </w:p>
    <w:p>
      <w:pPr>
        <w:pStyle w:val="18"/>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0"/>
          <w:szCs w:val="30"/>
        </w:rPr>
      </w:pPr>
      <w:r>
        <w:rPr>
          <w:rFonts w:hint="eastAsia" w:ascii="方正仿宋简体" w:hAnsi="方正仿宋简体" w:eastAsia="方正仿宋简体" w:cs="方正仿宋简体"/>
          <w:bCs/>
          <w:kern w:val="1"/>
          <w:sz w:val="32"/>
          <w:szCs w:val="32"/>
        </w:rPr>
        <w:t>公司：</w:t>
      </w:r>
      <w:r>
        <w:rPr>
          <w:rFonts w:hint="eastAsia" w:ascii="方正仿宋简体" w:hAnsi="方正仿宋简体" w:eastAsia="方正仿宋简体" w:cs="方正仿宋简体"/>
          <w:bCs/>
          <w:kern w:val="1"/>
          <w:sz w:val="30"/>
          <w:szCs w:val="30"/>
        </w:rPr>
        <w:t>镇江海纳川物流产业发展有限责任公司风险控制部</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邮编：212006</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收件人：邵蕾</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联系电话：15050893302</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（六）</w:t>
      </w:r>
      <w:r>
        <w:rPr>
          <w:rFonts w:hint="eastAsia" w:ascii="方正仿宋简体" w:hAnsi="方正仿宋简体" w:eastAsia="方正仿宋简体" w:cs="方正仿宋简体"/>
          <w:bCs/>
          <w:kern w:val="1"/>
          <w:sz w:val="32"/>
          <w:szCs w:val="32"/>
        </w:rPr>
        <w:t>凡对招标文件条款有疑义的，请在开标前按以下方式联系：</w:t>
      </w:r>
    </w:p>
    <w:p>
      <w:pPr>
        <w:pStyle w:val="18"/>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联系单位：镇江海纳川物流产业发展有限责任公司</w:t>
      </w:r>
    </w:p>
    <w:p>
      <w:pPr>
        <w:adjustRightInd w:val="0"/>
        <w:snapToGrid w:val="0"/>
        <w:spacing w:line="600" w:lineRule="exact"/>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 xml:space="preserve">    地址：江苏省镇江市京口区求索路66号，邮编：212006</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招标业务联系人：邵蕾     电话：15050893302</w:t>
      </w:r>
    </w:p>
    <w:p>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 xml:space="preserve">技术部门联系人：卞骏    </w:t>
      </w:r>
      <w:r>
        <w:rPr>
          <w:rFonts w:ascii="方正仿宋简体" w:hAnsi="方正仿宋简体" w:eastAsia="方正仿宋简体" w:cs="方正仿宋简体"/>
          <w:bCs/>
          <w:kern w:val="1"/>
          <w:sz w:val="32"/>
          <w:szCs w:val="32"/>
        </w:rPr>
        <w:t xml:space="preserve"> </w:t>
      </w:r>
      <w:r>
        <w:rPr>
          <w:rFonts w:hint="eastAsia" w:ascii="方正仿宋简体" w:hAnsi="方正仿宋简体" w:eastAsia="方正仿宋简体" w:cs="方正仿宋简体"/>
          <w:bCs/>
          <w:kern w:val="1"/>
          <w:sz w:val="32"/>
          <w:szCs w:val="32"/>
        </w:rPr>
        <w:t>电话：</w:t>
      </w:r>
      <w:r>
        <w:rPr>
          <w:rFonts w:ascii="方正仿宋简体" w:hAnsi="方正仿宋简体" w:eastAsia="方正仿宋简体" w:cs="方正仿宋简体"/>
          <w:bCs/>
          <w:kern w:val="1"/>
          <w:sz w:val="32"/>
          <w:szCs w:val="32"/>
        </w:rPr>
        <w:t>15306107162</w:t>
      </w:r>
    </w:p>
    <w:p>
      <w:pPr>
        <w:pStyle w:val="6"/>
        <w:spacing w:line="600" w:lineRule="exact"/>
        <w:ind w:firstLine="640" w:firstLineChars="200"/>
        <w:rPr>
          <w:rFonts w:ascii="方正黑体_GBK" w:hAnsi="方正黑体_GBK" w:eastAsia="方正黑体_GBK" w:cs="方正黑体_GBK"/>
          <w:kern w:val="2"/>
          <w:sz w:val="32"/>
          <w:szCs w:val="32"/>
        </w:rPr>
      </w:pPr>
      <w:r>
        <w:rPr>
          <w:rFonts w:hint="eastAsia" w:ascii="方正黑体_GBK" w:hAnsi="方正黑体_GBK" w:eastAsia="方正黑体_GBK" w:cs="方正黑体_GBK"/>
          <w:kern w:val="2"/>
          <w:sz w:val="32"/>
          <w:szCs w:val="32"/>
        </w:rPr>
        <w:t>六</w:t>
      </w:r>
      <w:r>
        <w:rPr>
          <w:rFonts w:ascii="方正黑体_GBK" w:hAnsi="方正黑体_GBK" w:eastAsia="方正黑体_GBK" w:cs="方正黑体_GBK"/>
          <w:kern w:val="2"/>
          <w:sz w:val="32"/>
          <w:szCs w:val="32"/>
        </w:rPr>
        <w:t>、</w:t>
      </w:r>
      <w:r>
        <w:rPr>
          <w:rFonts w:hint="eastAsia" w:ascii="方正黑体_GBK" w:hAnsi="方正黑体_GBK" w:eastAsia="方正黑体_GBK" w:cs="方正黑体_GBK"/>
          <w:kern w:val="2"/>
          <w:sz w:val="32"/>
          <w:szCs w:val="32"/>
        </w:rPr>
        <w:t>开标、评标及废标：</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开标</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本项目由招标人组织评标小组负责开标工作，对各投标人报价进行评标，确定最终中标人。</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1.请各投标人保持通讯畅通，便于</w:t>
      </w:r>
      <w:r>
        <w:rPr>
          <w:rFonts w:hint="eastAsia" w:ascii="方正仿宋简体" w:hAnsi="方正仿宋简体" w:eastAsia="方正仿宋简体" w:cs="方正仿宋简体"/>
          <w:kern w:val="1"/>
          <w:sz w:val="32"/>
          <w:szCs w:val="32"/>
        </w:rPr>
        <w:t>评标小组在开标现场电话联系</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sz w:val="32"/>
          <w:szCs w:val="32"/>
        </w:rPr>
        <w:t>确认标书中的相关信息，投标人必须及时回复开标过程中招标人提出的问题，合理解释投标文件与招标文件的偏离。如评标小组开标现场10分钟内电话联系不上投标人，且投标文件与招标文件的偏离影响定标结果，则视为投标人主动放弃本项目投标，开标结束后不再接受投标人的任何解释。</w:t>
      </w:r>
    </w:p>
    <w:p>
      <w:pPr>
        <w:pStyle w:val="5"/>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 xml:space="preserve">2.评标小组不得泄露各投标人的报价。   </w:t>
      </w:r>
    </w:p>
    <w:p>
      <w:pPr>
        <w:spacing w:line="360" w:lineRule="auto"/>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评标</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1.综合</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采取综合评审方法进行打分，具体按价格得分、技术得分、商务得分（得分比例根据货物内容确定）三个方面进行评审，并按综合得分由高到低顺序推选一名中标候选人。</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2.通用</w:t>
      </w:r>
      <w:r>
        <w:rPr>
          <w:rFonts w:hint="eastAsia" w:ascii="方正仿宋简体" w:hAnsi="方正仿宋简体" w:eastAsia="方正仿宋简体" w:cs="方正仿宋简体"/>
          <w:color w:val="FF0000"/>
          <w:sz w:val="32"/>
          <w:szCs w:val="32"/>
        </w:rPr>
        <w:t>（本次采用该种评标方式）</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（1）在能够满足招标人技术要求及工期要求的投标人中选择总投标价最低的一家投标人作为中标候选人。</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（2）同等价格下，质量指标、售后服务更好的为中标候选人。</w:t>
      </w:r>
    </w:p>
    <w:p>
      <w:pPr>
        <w:spacing w:line="360" w:lineRule="auto"/>
        <w:ind w:firstLine="640" w:firstLineChars="200"/>
        <w:jc w:val="left"/>
        <w:rPr>
          <w:rFonts w:ascii="方正仿宋简体" w:hAnsi="方正仿宋简体" w:eastAsia="方正仿宋简体" w:cs="方正仿宋简体"/>
          <w:bCs/>
          <w:kern w:val="1"/>
          <w:sz w:val="30"/>
          <w:szCs w:val="30"/>
        </w:rPr>
      </w:pPr>
      <w:r>
        <w:rPr>
          <w:rFonts w:hint="eastAsia" w:ascii="方正仿宋简体" w:hAnsi="方正仿宋简体" w:eastAsia="方正仿宋简体" w:cs="方正仿宋简体"/>
          <w:bCs/>
          <w:kern w:val="1"/>
          <w:sz w:val="32"/>
          <w:szCs w:val="32"/>
        </w:rPr>
        <w:t>（3）</w:t>
      </w:r>
      <w:r>
        <w:rPr>
          <w:rFonts w:hint="eastAsia" w:ascii="方正仿宋简体" w:hAnsi="方正仿宋简体" w:eastAsia="方正仿宋简体" w:cs="方正仿宋简体"/>
          <w:bCs/>
          <w:kern w:val="1"/>
          <w:sz w:val="30"/>
          <w:szCs w:val="30"/>
        </w:rPr>
        <w:t>同等价格、同等质量下，现有供应方为中标候选人。</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废标</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1.招标人如发现招标过程中有串标、陪标等扰乱招标人经营秩序的恶劣情况，经招标人评标小组评定可作废标处理，并可将相关投标方列入供应商负面清单，一年内不再接受参与投标工作。</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楷体_GBK" w:cs="方正仿宋简体"/>
          <w:bCs/>
          <w:kern w:val="1"/>
          <w:sz w:val="32"/>
          <w:szCs w:val="32"/>
        </w:rPr>
        <w:t>2.</w:t>
      </w:r>
      <w:r>
        <w:rPr>
          <w:rFonts w:hint="eastAsia" w:ascii="方正仿宋简体" w:hAnsi="方正仿宋简体" w:eastAsia="方正仿宋简体" w:cs="方正仿宋简体"/>
          <w:bCs/>
          <w:kern w:val="1"/>
          <w:sz w:val="32"/>
          <w:szCs w:val="32"/>
        </w:rPr>
        <w:t>凡投标人不具</w:t>
      </w:r>
      <w:r>
        <w:rPr>
          <w:rFonts w:hint="eastAsia" w:ascii="方正仿宋简体" w:hAnsi="方正仿宋简体" w:eastAsia="方正仿宋简体" w:cs="方正仿宋简体"/>
          <w:bCs/>
          <w:color w:val="000000" w:themeColor="text1"/>
          <w:kern w:val="1"/>
          <w:sz w:val="32"/>
          <w:szCs w:val="32"/>
          <w14:textFill>
            <w14:solidFill>
              <w14:schemeClr w14:val="tx1"/>
            </w14:solidFill>
          </w14:textFill>
        </w:rPr>
        <w:t>备招标人明确要求资质的</w:t>
      </w:r>
      <w:r>
        <w:rPr>
          <w:rFonts w:hint="eastAsia" w:ascii="方正仿宋简体" w:hAnsi="方正仿宋简体" w:eastAsia="方正仿宋简体" w:cs="方正仿宋简体"/>
          <w:bCs/>
          <w:kern w:val="1"/>
          <w:sz w:val="32"/>
          <w:szCs w:val="32"/>
        </w:rPr>
        <w:t>，或投标文件填写不完整、报价有空项的，或不符合技术要求条款的，或者存在其他不符合招标人有关要求的问题，经招标人评标小组评定，可作废标处理。</w:t>
      </w:r>
    </w:p>
    <w:p>
      <w:pPr>
        <w:pStyle w:val="6"/>
        <w:spacing w:line="600" w:lineRule="exact"/>
        <w:ind w:firstLine="643" w:firstLineChars="200"/>
        <w:rPr>
          <w:rFonts w:ascii="方正仿宋简体" w:hAnsi="方正仿宋简体" w:eastAsia="方正仿宋简体" w:cs="方正仿宋简体"/>
          <w:bCs/>
          <w:color w:val="FF0000"/>
          <w:kern w:val="1"/>
          <w:sz w:val="32"/>
          <w:szCs w:val="32"/>
        </w:rPr>
      </w:pPr>
      <w:r>
        <w:rPr>
          <w:rFonts w:hint="eastAsia" w:ascii="方正黑体_GBK" w:hAnsi="方正黑体_GBK" w:eastAsia="方正黑体_GBK" w:cs="方正黑体_GBK"/>
          <w:b/>
          <w:kern w:val="1"/>
          <w:sz w:val="32"/>
          <w:szCs w:val="32"/>
        </w:rPr>
        <w:t>七、其他注意事项：</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违约责任</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1.未经招标人允许,中标人不得以任何方式将本项目分包给第三方，否则按本合同总价的10%作为违约金，同时招标人有权终止本合同。　　</w:t>
      </w:r>
    </w:p>
    <w:p>
      <w:pPr>
        <w:adjustRightInd w:val="0"/>
        <w:snapToGrid w:val="0"/>
        <w:spacing w:line="600" w:lineRule="exact"/>
        <w:ind w:firstLine="640" w:firstLineChars="200"/>
        <w:jc w:val="left"/>
      </w:pPr>
      <w:r>
        <w:rPr>
          <w:rFonts w:hint="eastAsia" w:ascii="方正仿宋简体" w:hAnsi="方正仿宋简体" w:eastAsia="方正仿宋简体" w:cs="方正仿宋简体"/>
          <w:bCs/>
          <w:kern w:val="1"/>
          <w:sz w:val="32"/>
          <w:szCs w:val="32"/>
        </w:rPr>
        <w:t>2.中标人中标以后应严格按照标书约定与招标方签定供需合同，并按合同约定做好物资供应和服务工作。对中标人所有违背标书及合同约定的行为，招标人均可持续保留与中标方中止合作的一切权利。</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3.对需检验的品种，经招标人检验部门检验合格后方能收货，否则做退、换货处理；长期合约的中标人如出现三次产品质量不合格的情况，视为中标人无能力保障产品质量，招标人有权终止此次招标合同的执行。</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4.如因中标人不能正常履约，对招标人生产经营活动造成影响的，招标人将依法追究投标方法律责任。</w:t>
      </w:r>
    </w:p>
    <w:p>
      <w:pPr>
        <w:pStyle w:val="4"/>
        <w:spacing w:line="600" w:lineRule="exact"/>
        <w:ind w:firstLine="640" w:firstLineChars="200"/>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5.因中标人原因，工作不能按招标文件规定的期限完成，违约金从本项目款中扣除，每延迟一天按本项目款的1%计收违约金，违约金从本合同款中扣除，不足部分由中标人另行支付（如有异议请在报价时注明）。不能在规定的期限完成本项目，延期20日内（含20天），招标人有权解除合同，并按合同总额20%追究中标人违约责任（如有异议请在报价时注明）。</w:t>
      </w:r>
    </w:p>
    <w:p>
      <w:pPr>
        <w:spacing w:line="600" w:lineRule="exact"/>
        <w:ind w:firstLine="640" w:firstLineChars="200"/>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6.中标人项目完成后，经验收不合格的，招标人可选择以下处理方式：</w:t>
      </w:r>
    </w:p>
    <w:p>
      <w:pPr>
        <w:spacing w:line="600" w:lineRule="exact"/>
        <w:ind w:firstLine="640" w:firstLineChars="200"/>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6.1招标人选择重新维修的，重新维修过程中产生的费用由中标人全部承担，且需在招标人第一次验收不合格之日起1日内完成，逾期未完成的，违约责任参照（一）执行。如果出现两次验收不合格的情况，招标人有权解除合同，并有权要求中标人赔偿合同总价款的20%违约金给招标人（如有异议请在报价时注明）。</w:t>
      </w:r>
    </w:p>
    <w:p>
      <w:pPr>
        <w:spacing w:line="600" w:lineRule="exact"/>
        <w:ind w:firstLine="640" w:firstLineChars="200"/>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6.2招标人选择解除合同的，中标人需无条件返还本项目招标人提供的所有物品，并按招标人要求的时间运输至招标人指定地点，招标人有权要求中标人赔偿合同总价款的20%违约金给招标人（如有异议请在报价时注明）。</w:t>
      </w:r>
    </w:p>
    <w:p>
      <w:pPr>
        <w:spacing w:line="600" w:lineRule="exact"/>
        <w:ind w:firstLine="640" w:firstLineChars="200"/>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6.3因中标人的项目质量、逾期完成等原因给招标人造成直接和间接经济损失的，由中标人承担全部责任（如有异议请在报价时注明）。</w:t>
      </w:r>
    </w:p>
    <w:p>
      <w:pPr>
        <w:spacing w:line="600" w:lineRule="exact"/>
        <w:ind w:firstLine="640" w:firstLineChars="200"/>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6.4中标人完成本合同规定的内容,招标人按照正常程序使用操作，若给招标人造成的任何损失，由中标人承担全部直接损失的赔偿责任，最高不超过合同总价。</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7.中标人应严格按照标书约定与招标方签定供需合同，并按合同约定做好物资供应和服务工作。对中标人所有违背标书及合同约定的行为，招标人均可持续保留与中标方中止合作的一切权利。　</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8.投标人在中标后无正当理由不与招标人签订合同的，将承担违约责任，列入招标人供应商负面清单；</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9.投标人应详细阅读本招标书，参与报价投标即视为对本招标书所列之条款均表示接受。</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10.招标人对违反约定的投标人或中标人将按《镇江海纳川物流产业发展有限责任公司招标采购管理规定》中供应商管理对投标人进行管理考核（详见附件1）。</w:t>
      </w:r>
    </w:p>
    <w:p>
      <w:pPr>
        <w:pStyle w:val="5"/>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11.外协作业人员需先进行安全教育培训。</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12.本次招标为企业自主公开招标，属生产经营性商务行为，解释权归镇江海纳川物流产业发展有限责任公司所有。</w:t>
      </w:r>
    </w:p>
    <w:p>
      <w:pPr>
        <w:pStyle w:val="2"/>
      </w:pPr>
    </w:p>
    <w:p>
      <w:pPr>
        <w:pStyle w:val="3"/>
        <w:jc w:val="both"/>
        <w:rPr>
          <w:rFonts w:ascii="方正小标宋简体" w:hAnsi="方正小标宋简体" w:eastAsia="方正小标宋简体" w:cs="方正小标宋简体"/>
          <w:szCs w:val="44"/>
        </w:rPr>
      </w:pPr>
    </w:p>
    <w:p/>
    <w:p>
      <w:pPr>
        <w:pStyle w:val="3"/>
        <w:ind w:left="3520" w:hanging="3520" w:hangingChars="800"/>
        <w:jc w:val="both"/>
        <w:rPr>
          <w:rFonts w:ascii="方正小标宋简体" w:hAnsi="方正小标宋简体" w:eastAsia="方正小标宋简体" w:cs="方正小标宋简体"/>
          <w:szCs w:val="44"/>
        </w:rPr>
      </w:pPr>
      <w:r>
        <w:rPr>
          <w:rFonts w:hint="eastAsia" w:ascii="方正小标宋简体" w:hAnsi="方正小标宋简体" w:eastAsia="方正小标宋简体" w:cs="方正小标宋简体"/>
          <w:szCs w:val="44"/>
        </w:rPr>
        <w:t xml:space="preserve">                 </w:t>
      </w:r>
    </w:p>
    <w:p>
      <w:pPr>
        <w:pStyle w:val="3"/>
        <w:jc w:val="both"/>
        <w:rPr>
          <w:rFonts w:ascii="方正小标宋简体" w:hAnsi="方正小标宋简体" w:eastAsia="方正小标宋简体" w:cs="方正小标宋简体"/>
          <w:szCs w:val="44"/>
        </w:rPr>
      </w:pPr>
    </w:p>
    <w:p>
      <w:pPr>
        <w:pStyle w:val="3"/>
        <w:ind w:left="3520" w:hanging="3520" w:hangingChars="800"/>
        <w:jc w:val="both"/>
        <w:rPr>
          <w:rFonts w:ascii="方正小标宋简体" w:hAnsi="方正小标宋简体" w:eastAsia="方正小标宋简体" w:cs="方正小标宋简体"/>
          <w:szCs w:val="44"/>
        </w:rPr>
      </w:pPr>
    </w:p>
    <w:p>
      <w:pPr>
        <w:pStyle w:val="3"/>
        <w:jc w:val="both"/>
        <w:rPr>
          <w:rFonts w:ascii="方正小标宋简体" w:hAnsi="方正小标宋简体" w:eastAsia="方正小标宋简体" w:cs="方正小标宋简体"/>
          <w:szCs w:val="44"/>
        </w:rPr>
      </w:pPr>
    </w:p>
    <w:p/>
    <w:p>
      <w:pPr>
        <w:pStyle w:val="2"/>
      </w:pPr>
    </w:p>
    <w:p>
      <w:pPr>
        <w:pStyle w:val="3"/>
        <w:ind w:left="3520" w:hanging="3520" w:hangingChars="800"/>
        <w:jc w:val="both"/>
        <w:rPr>
          <w:rFonts w:ascii="方正小标宋简体" w:hAnsi="方正小标宋简体" w:eastAsia="方正小标宋简体" w:cs="方正小标宋简体"/>
          <w:szCs w:val="44"/>
        </w:rPr>
      </w:pPr>
      <w:r>
        <w:rPr>
          <w:rFonts w:hint="eastAsia" w:ascii="方正小标宋简体" w:hAnsi="方正小标宋简体" w:eastAsia="方正小标宋简体" w:cs="方正小标宋简体"/>
          <w:szCs w:val="44"/>
        </w:rPr>
        <w:t xml:space="preserve">                    报价函</w:t>
      </w:r>
    </w:p>
    <w:p>
      <w:pPr>
        <w:tabs>
          <w:tab w:val="left" w:pos="180"/>
        </w:tabs>
        <w:spacing w:line="600" w:lineRule="exac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镇江海纳川物流产业发展有限责任公司：</w:t>
      </w:r>
    </w:p>
    <w:p>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投标单位全称：</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；授权全权代表姓名、职务、职称：</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为全权代表，参加贵方组织的招标有关活动，并对该项目进行投标。</w:t>
      </w:r>
    </w:p>
    <w:p>
      <w:pPr>
        <w:spacing w:line="600" w:lineRule="exact"/>
        <w:ind w:firstLine="640" w:firstLineChars="200"/>
        <w:jc w:val="left"/>
        <w:rPr>
          <w:rFonts w:ascii="方正仿宋简体" w:hAnsi="方正仿宋简体" w:eastAsia="方正仿宋简体" w:cs="方正仿宋简体"/>
          <w:color w:val="FF0000"/>
          <w:kern w:val="1"/>
          <w:sz w:val="32"/>
          <w:szCs w:val="32"/>
        </w:rPr>
      </w:pPr>
      <w:r>
        <w:rPr>
          <w:rFonts w:hint="eastAsia" w:ascii="方正仿宋简体" w:hAnsi="方正仿宋简体" w:eastAsia="方正仿宋简体" w:cs="方正仿宋简体"/>
          <w:kern w:val="1"/>
          <w:sz w:val="32"/>
          <w:szCs w:val="32"/>
        </w:rPr>
        <w:t>一.投标项目的总投标价（含税）为</w:t>
      </w:r>
      <w:r>
        <w:rPr>
          <w:rFonts w:hint="eastAsia" w:ascii="方正仿宋简体" w:hAnsi="方正仿宋简体" w:eastAsia="方正仿宋简体" w:cs="方正仿宋简体"/>
          <w:kern w:val="1"/>
          <w:sz w:val="32"/>
          <w:szCs w:val="32"/>
          <w:u w:val="single"/>
        </w:rPr>
        <w:softHyphen/>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(大写)：</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元人民币；税率</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二.报价格式</w:t>
      </w:r>
    </w:p>
    <w:tbl>
      <w:tblPr>
        <w:tblStyle w:val="13"/>
        <w:tblW w:w="846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31"/>
        <w:gridCol w:w="3022"/>
        <w:gridCol w:w="1151"/>
        <w:gridCol w:w="1826"/>
        <w:gridCol w:w="153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jc w:val="center"/>
        </w:trPr>
        <w:tc>
          <w:tcPr>
            <w:tcW w:w="931" w:type="dxa"/>
          </w:tcPr>
          <w:p>
            <w:pPr>
              <w:widowControl/>
              <w:wordWrap w:val="0"/>
              <w:spacing w:after="160" w:line="360" w:lineRule="auto"/>
              <w:rPr>
                <w:rFonts w:ascii="方正仿宋简体" w:hAnsi="仿宋_GB2312" w:eastAsia="方正仿宋简体"/>
                <w:sz w:val="32"/>
                <w:szCs w:val="32"/>
              </w:rPr>
            </w:pPr>
            <w:r>
              <w:rPr>
                <w:rFonts w:hint="eastAsia" w:ascii="方正仿宋简体" w:hAnsi="仿宋_GB2312" w:eastAsia="方正仿宋简体"/>
                <w:sz w:val="32"/>
                <w:szCs w:val="32"/>
              </w:rPr>
              <w:t>序号</w:t>
            </w:r>
          </w:p>
        </w:tc>
        <w:tc>
          <w:tcPr>
            <w:tcW w:w="3022" w:type="dxa"/>
            <w:vAlign w:val="center"/>
          </w:tcPr>
          <w:p>
            <w:pPr>
              <w:widowControl/>
              <w:wordWrap w:val="0"/>
              <w:spacing w:after="160" w:line="360" w:lineRule="auto"/>
              <w:ind w:firstLine="640" w:firstLineChars="200"/>
              <w:rPr>
                <w:rFonts w:ascii="方正仿宋简体" w:hAnsi="仿宋_GB2312" w:eastAsia="方正仿宋简体"/>
                <w:sz w:val="32"/>
                <w:szCs w:val="32"/>
              </w:rPr>
            </w:pPr>
            <w:r>
              <w:rPr>
                <w:rFonts w:hint="eastAsia" w:ascii="方正仿宋简体" w:hAnsi="仿宋_GB2312" w:eastAsia="方正仿宋简体"/>
                <w:sz w:val="32"/>
                <w:szCs w:val="32"/>
              </w:rPr>
              <w:t>标的名称</w:t>
            </w:r>
          </w:p>
        </w:tc>
        <w:tc>
          <w:tcPr>
            <w:tcW w:w="1151" w:type="dxa"/>
          </w:tcPr>
          <w:p>
            <w:pPr>
              <w:widowControl/>
              <w:wordWrap w:val="0"/>
              <w:spacing w:after="160" w:line="360" w:lineRule="auto"/>
              <w:ind w:firstLine="160" w:firstLineChars="50"/>
              <w:rPr>
                <w:rFonts w:ascii="方正仿宋简体" w:hAnsi="仿宋_GB2312" w:eastAsia="方正仿宋简体"/>
                <w:sz w:val="32"/>
                <w:szCs w:val="32"/>
              </w:rPr>
            </w:pPr>
            <w:r>
              <w:rPr>
                <w:rFonts w:hint="eastAsia" w:ascii="方正仿宋简体" w:hAnsi="仿宋_GB2312" w:eastAsia="方正仿宋简体"/>
                <w:sz w:val="32"/>
                <w:szCs w:val="32"/>
              </w:rPr>
              <w:t xml:space="preserve">规格 </w:t>
            </w:r>
          </w:p>
        </w:tc>
        <w:tc>
          <w:tcPr>
            <w:tcW w:w="1826" w:type="dxa"/>
            <w:vAlign w:val="center"/>
          </w:tcPr>
          <w:p>
            <w:pPr>
              <w:widowControl/>
              <w:wordWrap w:val="0"/>
              <w:spacing w:after="160" w:line="360" w:lineRule="auto"/>
              <w:rPr>
                <w:rFonts w:ascii="方正仿宋简体" w:hAnsi="仿宋_GB2312" w:eastAsia="方正仿宋简体"/>
                <w:sz w:val="32"/>
                <w:szCs w:val="32"/>
              </w:rPr>
            </w:pPr>
            <w:r>
              <w:rPr>
                <w:rFonts w:hint="eastAsia" w:ascii="方正仿宋简体" w:hAnsi="仿宋_GB2312" w:eastAsia="方正仿宋简体"/>
                <w:sz w:val="32"/>
                <w:szCs w:val="32"/>
              </w:rPr>
              <w:t>报价（含税）</w:t>
            </w:r>
          </w:p>
        </w:tc>
        <w:tc>
          <w:tcPr>
            <w:tcW w:w="1535" w:type="dxa"/>
            <w:vAlign w:val="center"/>
          </w:tcPr>
          <w:p>
            <w:pPr>
              <w:widowControl/>
              <w:wordWrap w:val="0"/>
              <w:spacing w:after="160" w:line="360" w:lineRule="auto"/>
              <w:ind w:firstLine="320" w:firstLineChars="100"/>
              <w:rPr>
                <w:rFonts w:ascii="方正仿宋简体" w:hAnsi="仿宋_GB2312" w:eastAsia="方正仿宋简体"/>
                <w:sz w:val="32"/>
                <w:szCs w:val="32"/>
              </w:rPr>
            </w:pPr>
            <w:r>
              <w:rPr>
                <w:rFonts w:hint="eastAsia" w:ascii="方正仿宋简体" w:hAnsi="仿宋_GB2312" w:eastAsia="方正仿宋简体"/>
                <w:sz w:val="32"/>
                <w:szCs w:val="32"/>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13" w:hRule="exact"/>
          <w:jc w:val="center"/>
        </w:trPr>
        <w:tc>
          <w:tcPr>
            <w:tcW w:w="931" w:type="dxa"/>
          </w:tcPr>
          <w:p>
            <w:pPr>
              <w:widowControl/>
              <w:jc w:val="center"/>
              <w:rPr>
                <w:rFonts w:ascii="宋体" w:hAnsi="宋体" w:cs="宋体"/>
                <w:kern w:val="0"/>
                <w:sz w:val="24"/>
                <w:szCs w:val="24"/>
              </w:rPr>
            </w:pPr>
          </w:p>
          <w:p>
            <w:pPr>
              <w:widowControl/>
              <w:jc w:val="center"/>
              <w:rPr>
                <w:rFonts w:ascii="宋体" w:hAnsi="宋体" w:cs="宋体"/>
                <w:kern w:val="0"/>
                <w:sz w:val="24"/>
                <w:szCs w:val="24"/>
              </w:rPr>
            </w:pPr>
            <w:r>
              <w:rPr>
                <w:rFonts w:hint="eastAsia" w:ascii="宋体" w:hAnsi="宋体" w:cs="宋体"/>
                <w:kern w:val="0"/>
                <w:sz w:val="24"/>
                <w:szCs w:val="24"/>
              </w:rPr>
              <w:t>1</w:t>
            </w:r>
          </w:p>
        </w:tc>
        <w:tc>
          <w:tcPr>
            <w:tcW w:w="3022" w:type="dxa"/>
            <w:tcBorders>
              <w:top w:val="nil"/>
              <w:left w:val="nil"/>
              <w:bottom w:val="single" w:color="000000" w:sz="8" w:space="0"/>
              <w:right w:val="single" w:color="000000" w:sz="8" w:space="0"/>
            </w:tcBorders>
            <w:shd w:val="clear" w:color="auto" w:fill="auto"/>
            <w:vAlign w:val="center"/>
          </w:tcPr>
          <w:p>
            <w:pPr>
              <w:widowControl/>
              <w:wordWrap w:val="0"/>
              <w:spacing w:after="160" w:line="360" w:lineRule="auto"/>
              <w:rPr>
                <w:rFonts w:ascii="方正仿宋简体" w:hAnsi="仿宋_GB2312" w:eastAsia="方正仿宋简体"/>
                <w:sz w:val="28"/>
                <w:szCs w:val="28"/>
              </w:rPr>
            </w:pPr>
            <w:r>
              <w:rPr>
                <w:rFonts w:ascii="方正仿宋简体" w:hAnsi="仿宋_GB2312" w:eastAsia="方正仿宋简体"/>
                <w:sz w:val="24"/>
                <w:szCs w:val="24"/>
              </w:rPr>
              <w:t>镇江海纳川物流产业发展有限公司安全仪表系统安全完整性等级（SIL）验</w:t>
            </w:r>
            <w:r>
              <w:rPr>
                <w:rFonts w:hint="eastAsia" w:ascii="方正仿宋简体" w:hAnsi="仿宋_GB2312" w:eastAsia="方正仿宋简体"/>
                <w:sz w:val="24"/>
                <w:szCs w:val="24"/>
              </w:rPr>
              <w:t>证</w:t>
            </w:r>
          </w:p>
        </w:tc>
        <w:tc>
          <w:tcPr>
            <w:tcW w:w="11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szCs w:val="24"/>
              </w:rPr>
            </w:pPr>
          </w:p>
        </w:tc>
        <w:tc>
          <w:tcPr>
            <w:tcW w:w="1826" w:type="dxa"/>
            <w:vAlign w:val="center"/>
          </w:tcPr>
          <w:p>
            <w:pPr>
              <w:widowControl/>
              <w:wordWrap w:val="0"/>
              <w:spacing w:after="160" w:line="360" w:lineRule="auto"/>
              <w:rPr>
                <w:rFonts w:ascii="方正仿宋简体" w:hAnsi="仿宋_GB2312" w:eastAsia="方正仿宋简体"/>
                <w:sz w:val="30"/>
                <w:szCs w:val="30"/>
              </w:rPr>
            </w:pPr>
          </w:p>
        </w:tc>
        <w:tc>
          <w:tcPr>
            <w:tcW w:w="1535" w:type="dxa"/>
            <w:vAlign w:val="center"/>
          </w:tcPr>
          <w:p>
            <w:pPr>
              <w:widowControl/>
              <w:wordWrap w:val="0"/>
              <w:spacing w:after="160" w:line="360" w:lineRule="auto"/>
              <w:rPr>
                <w:rFonts w:ascii="方正仿宋简体" w:hAnsi="仿宋_GB2312" w:eastAsia="方正仿宋简体"/>
                <w:szCs w:val="21"/>
              </w:rPr>
            </w:pPr>
            <w:r>
              <w:rPr>
                <w:rFonts w:hint="eastAsia" w:ascii="方正仿宋简体" w:hAnsi="方正仿宋简体" w:eastAsia="方正仿宋简体" w:cs="方正仿宋简体"/>
                <w:szCs w:val="21"/>
              </w:rPr>
              <w:t>中标方验算</w:t>
            </w:r>
            <w:r>
              <w:rPr>
                <w:rFonts w:ascii="方正仿宋简体" w:hAnsi="方正仿宋简体" w:eastAsia="方正仿宋简体" w:cs="方正仿宋简体"/>
                <w:szCs w:val="21"/>
              </w:rPr>
              <w:t>完成后，提供</w:t>
            </w:r>
            <w:r>
              <w:rPr>
                <w:rFonts w:hint="eastAsia" w:ascii="方正仿宋简体" w:hAnsi="方正仿宋简体" w:eastAsia="方正仿宋简体" w:cs="方正仿宋简体"/>
                <w:szCs w:val="21"/>
              </w:rPr>
              <w:t>2份</w:t>
            </w:r>
            <w:r>
              <w:rPr>
                <w:rFonts w:ascii="方正仿宋简体" w:hAnsi="方正仿宋简体" w:eastAsia="方正仿宋简体" w:cs="方正仿宋简体"/>
                <w:szCs w:val="21"/>
              </w:rPr>
              <w:t>验证报告和一</w:t>
            </w:r>
            <w:r>
              <w:rPr>
                <w:rFonts w:hint="eastAsia" w:ascii="方正仿宋简体" w:hAnsi="方正仿宋简体" w:eastAsia="方正仿宋简体" w:cs="方正仿宋简体"/>
                <w:szCs w:val="21"/>
              </w:rPr>
              <w:t>份</w:t>
            </w:r>
            <w:r>
              <w:rPr>
                <w:rFonts w:ascii="方正仿宋简体" w:hAnsi="方正仿宋简体" w:eastAsia="方正仿宋简体" w:cs="方正仿宋简体"/>
                <w:szCs w:val="21"/>
              </w:rPr>
              <w:t>电子版</w:t>
            </w:r>
            <w:r>
              <w:rPr>
                <w:rFonts w:hint="eastAsia" w:ascii="方正仿宋简体" w:hAnsi="方正仿宋简体" w:eastAsia="方正仿宋简体" w:cs="方正仿宋简体"/>
                <w:szCs w:val="21"/>
              </w:rPr>
              <w:t>验证</w:t>
            </w:r>
            <w:r>
              <w:rPr>
                <w:rFonts w:ascii="方正仿宋简体" w:hAnsi="方正仿宋简体" w:eastAsia="方正仿宋简体" w:cs="方正仿宋简体"/>
                <w:szCs w:val="21"/>
              </w:rPr>
              <w:t>报告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jc w:val="center"/>
        </w:trPr>
        <w:tc>
          <w:tcPr>
            <w:tcW w:w="6930" w:type="dxa"/>
            <w:gridSpan w:val="4"/>
            <w:tcBorders>
              <w:right w:val="single" w:color="auto" w:sz="4" w:space="0"/>
            </w:tcBorders>
          </w:tcPr>
          <w:p>
            <w:pPr>
              <w:widowControl/>
              <w:wordWrap w:val="0"/>
              <w:spacing w:after="160" w:line="360" w:lineRule="auto"/>
              <w:rPr>
                <w:rFonts w:ascii="方正仿宋简体" w:hAnsi="仿宋_GB2312" w:eastAsia="方正仿宋简体"/>
                <w:sz w:val="24"/>
                <w:szCs w:val="24"/>
              </w:rPr>
            </w:pPr>
            <w:r>
              <w:rPr>
                <w:rFonts w:hint="eastAsia" w:ascii="方正仿宋简体" w:hAnsi="仿宋_GB2312" w:eastAsia="方正仿宋简体"/>
                <w:sz w:val="24"/>
                <w:szCs w:val="24"/>
              </w:rPr>
              <w:t xml:space="preserve">以上合计总价（大写）：                          </w:t>
            </w:r>
          </w:p>
          <w:p>
            <w:pPr>
              <w:widowControl/>
              <w:wordWrap w:val="0"/>
              <w:spacing w:after="160" w:line="360" w:lineRule="auto"/>
              <w:rPr>
                <w:rFonts w:ascii="方正仿宋简体" w:hAnsi="仿宋_GB2312" w:eastAsia="方正仿宋简体"/>
                <w:sz w:val="32"/>
                <w:szCs w:val="32"/>
              </w:rPr>
            </w:pPr>
            <w:r>
              <w:rPr>
                <w:rFonts w:hint="eastAsia" w:ascii="方正仿宋简体" w:hAnsi="仿宋_GB2312" w:eastAsia="方正仿宋简体"/>
                <w:sz w:val="24"/>
                <w:szCs w:val="24"/>
              </w:rPr>
              <w:t xml:space="preserve">小写： </w:t>
            </w:r>
            <w:r>
              <w:rPr>
                <w:rFonts w:hint="eastAsia" w:ascii="方正仿宋简体" w:hAnsi="仿宋_GB2312" w:eastAsia="方正仿宋简体"/>
                <w:sz w:val="32"/>
                <w:szCs w:val="32"/>
              </w:rPr>
              <w:t xml:space="preserve">                   </w:t>
            </w:r>
          </w:p>
          <w:p>
            <w:pPr>
              <w:widowControl/>
              <w:wordWrap w:val="0"/>
              <w:spacing w:after="160" w:line="360" w:lineRule="auto"/>
              <w:rPr>
                <w:rFonts w:ascii="方正仿宋简体" w:hAnsi="仿宋_GB2312" w:eastAsia="方正仿宋简体"/>
                <w:sz w:val="32"/>
                <w:szCs w:val="32"/>
              </w:rPr>
            </w:pPr>
          </w:p>
        </w:tc>
        <w:tc>
          <w:tcPr>
            <w:tcW w:w="1535" w:type="dxa"/>
            <w:tcBorders>
              <w:left w:val="single" w:color="auto" w:sz="4" w:space="0"/>
            </w:tcBorders>
          </w:tcPr>
          <w:p>
            <w:pPr>
              <w:widowControl/>
              <w:jc w:val="left"/>
              <w:rPr>
                <w:rFonts w:ascii="方正仿宋简体" w:hAnsi="仿宋_GB2312" w:eastAsia="方正仿宋简体"/>
                <w:sz w:val="24"/>
                <w:szCs w:val="24"/>
              </w:rPr>
            </w:pPr>
            <w:r>
              <w:rPr>
                <w:rFonts w:hint="eastAsia" w:ascii="方正仿宋简体" w:hAnsi="仿宋_GB2312" w:eastAsia="方正仿宋简体"/>
                <w:sz w:val="24"/>
                <w:szCs w:val="24"/>
              </w:rPr>
              <w:t>小写：</w:t>
            </w:r>
          </w:p>
          <w:p>
            <w:pPr>
              <w:widowControl/>
              <w:wordWrap w:val="0"/>
              <w:spacing w:after="160" w:line="360" w:lineRule="auto"/>
              <w:rPr>
                <w:rFonts w:ascii="方正仿宋简体" w:hAnsi="仿宋_GB2312" w:eastAsia="方正仿宋简体"/>
                <w:sz w:val="32"/>
                <w:szCs w:val="32"/>
              </w:rPr>
            </w:pPr>
          </w:p>
        </w:tc>
      </w:tr>
    </w:tbl>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1.在满足招标人使用要求前提下，以报价格式</w:t>
      </w:r>
      <w:r>
        <w:rPr>
          <w:rFonts w:hint="eastAsia" w:ascii="方正仿宋简体" w:hAnsi="方正仿宋简体" w:eastAsia="方正仿宋简体" w:cs="方正仿宋简体"/>
          <w:color w:val="FF0000"/>
          <w:sz w:val="32"/>
          <w:szCs w:val="32"/>
        </w:rPr>
        <w:t>总价</w:t>
      </w:r>
      <w:r>
        <w:rPr>
          <w:rFonts w:hint="eastAsia" w:ascii="方正仿宋简体" w:hAnsi="方正仿宋简体" w:eastAsia="方正仿宋简体" w:cs="方正仿宋简体"/>
          <w:sz w:val="32"/>
          <w:szCs w:val="32"/>
        </w:rPr>
        <w:t>作为总投标价，总投标价只为确定中标单位作依据。</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2.按报价格式进行填报，每格均需填报，无报价以斜线、横线或0填满。</w:t>
      </w:r>
    </w:p>
    <w:p>
      <w:pPr>
        <w:pStyle w:val="5"/>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kern w:val="1"/>
          <w:sz w:val="32"/>
          <w:szCs w:val="32"/>
        </w:rPr>
        <w:t>三.工期：</w:t>
      </w:r>
      <w:r>
        <w:rPr>
          <w:rFonts w:hint="eastAsia" w:ascii="方正仿宋简体" w:hAnsi="仿宋_GB2312" w:eastAsia="方正仿宋简体" w:cs="仿宋_GB2312"/>
          <w:kern w:val="32"/>
          <w:sz w:val="32"/>
          <w:szCs w:val="32"/>
          <w:u w:val="single"/>
        </w:rPr>
        <w:t>合同签订后</w:t>
      </w:r>
      <w:r>
        <w:rPr>
          <w:rFonts w:ascii="方正仿宋简体" w:hAnsi="仿宋_GB2312" w:eastAsia="方正仿宋简体" w:cs="仿宋_GB2312"/>
          <w:kern w:val="32"/>
          <w:sz w:val="32"/>
          <w:szCs w:val="32"/>
          <w:u w:val="single"/>
        </w:rPr>
        <w:t>10</w:t>
      </w:r>
      <w:r>
        <w:rPr>
          <w:rFonts w:hint="eastAsia" w:ascii="方正仿宋简体" w:hAnsi="仿宋_GB2312" w:eastAsia="方正仿宋简体" w:cs="仿宋_GB2312"/>
          <w:kern w:val="32"/>
          <w:sz w:val="32"/>
          <w:szCs w:val="32"/>
          <w:u w:val="single"/>
        </w:rPr>
        <w:t>天内</w:t>
      </w:r>
      <w:r>
        <w:rPr>
          <w:rFonts w:hint="eastAsia" w:ascii="方正仿宋简体" w:hAnsi="方正仿宋简体" w:eastAsia="方正仿宋简体" w:cs="方正仿宋简体"/>
          <w:kern w:val="1"/>
          <w:sz w:val="32"/>
          <w:szCs w:val="32"/>
          <w:u w:val="single"/>
        </w:rPr>
        <w:t xml:space="preserve"> 。 </w:t>
      </w:r>
    </w:p>
    <w:p>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四.我方承诺遵守招标文件中的全部规定；</w:t>
      </w:r>
    </w:p>
    <w:p>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五.我方承诺中标后双方签订合同,并承担合同规定的责任义务；</w:t>
      </w:r>
    </w:p>
    <w:p>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sz w:val="32"/>
          <w:szCs w:val="32"/>
          <w:shd w:val="clear" w:color="auto" w:fill="FFFFFF"/>
        </w:rPr>
        <w:t>六.我方已详细审查全部招标文件，包括招标文件的补充文件（如有）。我方完全理解并同意放弃对这方面有不明及误解的权力，同时完全接受招标文件所有条款。如果招标文件有相互矛盾之处，我方同意按招标方的解释处理；</w:t>
      </w:r>
    </w:p>
    <w:p>
      <w:pPr>
        <w:spacing w:line="600" w:lineRule="exact"/>
        <w:ind w:firstLine="640" w:firstLineChars="200"/>
        <w:jc w:val="left"/>
        <w:rPr>
          <w:rFonts w:ascii="方正仿宋简体" w:hAnsi="方正仿宋简体" w:eastAsia="方正仿宋简体" w:cs="方正仿宋简体"/>
          <w:sz w:val="32"/>
          <w:szCs w:val="32"/>
          <w:shd w:val="clear" w:color="auto" w:fill="FFFFFF"/>
        </w:rPr>
      </w:pPr>
      <w:r>
        <w:rPr>
          <w:rFonts w:hint="eastAsia" w:ascii="方正仿宋简体" w:hAnsi="方正仿宋简体" w:eastAsia="方正仿宋简体" w:cs="方正仿宋简体"/>
          <w:bCs/>
          <w:kern w:val="1"/>
          <w:sz w:val="32"/>
          <w:szCs w:val="32"/>
        </w:rPr>
        <w:t>七.愿意向贵方提供任何与该项投标有关的数据、情况和技术资料，</w:t>
      </w:r>
      <w:r>
        <w:rPr>
          <w:rFonts w:hint="eastAsia" w:ascii="方正仿宋简体" w:hAnsi="方正仿宋简体" w:eastAsia="方正仿宋简体" w:cs="方正仿宋简体"/>
          <w:sz w:val="32"/>
          <w:szCs w:val="32"/>
          <w:shd w:val="clear" w:color="auto" w:fill="FFFFFF"/>
        </w:rPr>
        <w:t>完全理解贵方不一定接受最低价的报价或收到的任何报价。</w:t>
      </w:r>
    </w:p>
    <w:p>
      <w:pPr>
        <w:pStyle w:val="5"/>
        <w:spacing w:after="0" w:line="600" w:lineRule="exact"/>
        <w:ind w:firstLine="640" w:firstLineChars="200"/>
        <w:rPr>
          <w:rFonts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bCs/>
          <w:color w:val="000000"/>
          <w:kern w:val="1"/>
          <w:sz w:val="32"/>
          <w:szCs w:val="32"/>
        </w:rPr>
        <w:t>八.投标单位其他说明情况：</w:t>
      </w:r>
      <w:r>
        <w:rPr>
          <w:rFonts w:hint="eastAsia" w:ascii="方正仿宋简体" w:hAnsi="方正仿宋简体" w:eastAsia="方正仿宋简体" w:cs="方正仿宋简体"/>
          <w:color w:val="000000"/>
          <w:kern w:val="1"/>
          <w:sz w:val="32"/>
          <w:szCs w:val="32"/>
          <w:u w:val="single"/>
        </w:rPr>
        <w:t xml:space="preserve">               </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全权代表（签字）：</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联系电话：</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投标单位（盖章）：</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日期：</w:t>
      </w:r>
    </w:p>
    <w:p>
      <w:pPr>
        <w:pStyle w:val="2"/>
      </w:pPr>
    </w:p>
    <w:p/>
    <w:p>
      <w:pPr>
        <w:pStyle w:val="11"/>
        <w:adjustRightInd w:val="0"/>
        <w:snapToGrid w:val="0"/>
        <w:spacing w:before="0" w:after="0" w:line="600" w:lineRule="exact"/>
        <w:jc w:val="left"/>
        <w:rPr>
          <w:rFonts w:ascii="方正黑体_GBK" w:hAnsi="方正黑体_GBK" w:eastAsia="方正黑体_GBK" w:cs="方正黑体_GBK"/>
          <w:b w:val="0"/>
        </w:rPr>
      </w:pPr>
      <w:r>
        <w:rPr>
          <w:rFonts w:hint="eastAsia" w:ascii="方正仿宋简体" w:hAnsi="方正仿宋简体" w:eastAsia="方正仿宋简体" w:cs="方正仿宋简体"/>
          <w:kern w:val="1"/>
        </w:rPr>
        <w:t>附件1</w:t>
      </w:r>
    </w:p>
    <w:p>
      <w:pPr>
        <w:pStyle w:val="11"/>
        <w:adjustRightInd w:val="0"/>
        <w:snapToGrid w:val="0"/>
        <w:spacing w:before="0" w:after="0" w:line="600" w:lineRule="exact"/>
        <w:rPr>
          <w:rFonts w:ascii="黑体" w:hAnsi="黑体" w:eastAsia="黑体"/>
          <w:b w:val="0"/>
          <w:sz w:val="34"/>
          <w:szCs w:val="34"/>
        </w:rPr>
      </w:pPr>
      <w:r>
        <w:rPr>
          <w:rFonts w:hint="eastAsia" w:ascii="方正黑体_GBK" w:hAnsi="方正黑体_GBK" w:eastAsia="方正黑体_GBK" w:cs="方正黑体_GBK"/>
          <w:b w:val="0"/>
        </w:rPr>
        <w:t xml:space="preserve"> 供应商管理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凡按国家标准及相关准则或规定组织生产销售的原辅材料、备品备件、劳保用品等物资供应商以及运输服务商，只要资质证照齐全且满足我司招标要求，均视为我司合格供应商，参与我司组织的招投标、比价采购等商务活动。</w:t>
      </w:r>
    </w:p>
    <w:p>
      <w:pPr>
        <w:tabs>
          <w:tab w:val="left" w:pos="2565"/>
        </w:tabs>
        <w:spacing w:line="600" w:lineRule="exact"/>
        <w:ind w:firstLine="640" w:firstLineChars="200"/>
        <w:rPr>
          <w:rFonts w:ascii="黑体" w:hAnsi="黑体" w:eastAsia="黑体" w:cs="方正仿宋简体"/>
          <w:sz w:val="32"/>
          <w:szCs w:val="32"/>
        </w:rPr>
      </w:pPr>
      <w:r>
        <w:rPr>
          <w:rFonts w:hint="eastAsia" w:ascii="黑体" w:hAnsi="黑体" w:eastAsia="黑体" w:cs="方正黑体_GBK"/>
          <w:sz w:val="32"/>
          <w:szCs w:val="32"/>
        </w:rPr>
        <w:t xml:space="preserve"> </w:t>
      </w:r>
      <w:r>
        <w:rPr>
          <w:rFonts w:hint="eastAsia" w:ascii="黑体" w:hAnsi="黑体" w:eastAsia="黑体" w:cs="方正仿宋简体"/>
          <w:sz w:val="32"/>
          <w:szCs w:val="32"/>
        </w:rPr>
        <w:t>供应商负面清单管理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管理职责</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1.使用部门：负责提供技术参数或提出服务要求，对采购物资或服务的质量进行验收。</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2.采购部门：负责通过线上或线下途径不断开发有能力满足公司所需物资或服务的供应商，对目标供应商所提供的材料完整性、交货期、价格等维度作为筛选的依据进行资格初审，收集供应商资料并建立档案。</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3.监管部门：负责对采购流程的合规性进行监督。</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风险控制部负责归口公司招投标负面清单，具体工作由海纳川各部室及直属单位共同承担。</w:t>
      </w:r>
    </w:p>
    <w:p>
      <w:pPr>
        <w:tabs>
          <w:tab w:val="left" w:pos="2565"/>
        </w:tabs>
        <w:spacing w:line="600" w:lineRule="exac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（二）负面清单确定流程</w:t>
      </w:r>
    </w:p>
    <w:p>
      <w:pPr>
        <w:pStyle w:val="2"/>
      </w:pPr>
    </w:p>
    <w:p>
      <w:pPr>
        <w:pStyle w:val="2"/>
      </w:pPr>
      <w:r>
        <w:drawing>
          <wp:anchor distT="0" distB="0" distL="114300" distR="114300" simplePos="0" relativeHeight="251660288" behindDoc="0" locked="0" layoutInCell="1" allowOverlap="1">
            <wp:simplePos x="0" y="0"/>
            <wp:positionH relativeFrom="column">
              <wp:posOffset>-723900</wp:posOffset>
            </wp:positionH>
            <wp:positionV relativeFrom="page">
              <wp:posOffset>984250</wp:posOffset>
            </wp:positionV>
            <wp:extent cx="6713220" cy="8780145"/>
            <wp:effectExtent l="0" t="0" r="0" b="1905"/>
            <wp:wrapSquare wrapText="bothSides"/>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6"/>
                    <a:stretch>
                      <a:fillRect/>
                    </a:stretch>
                  </pic:blipFill>
                  <pic:spPr>
                    <a:xfrm>
                      <a:off x="0" y="0"/>
                      <a:ext cx="6713220" cy="8780145"/>
                    </a:xfrm>
                    <a:prstGeom prst="rect">
                      <a:avLst/>
                    </a:prstGeom>
                    <a:noFill/>
                    <a:ln>
                      <a:noFill/>
                    </a:ln>
                  </pic:spPr>
                </pic:pic>
              </a:graphicData>
            </a:graphic>
          </wp:anchor>
        </w:drawing>
      </w:r>
    </w:p>
    <w:p/>
    <w:p>
      <w:pPr>
        <w:tabs>
          <w:tab w:val="left" w:pos="2565"/>
        </w:tabs>
        <w:spacing w:line="600" w:lineRule="exact"/>
        <w:ind w:firstLine="640" w:firstLineChars="200"/>
        <w:rPr>
          <w:rFonts w:ascii="黑体" w:hAnsi="黑体" w:eastAsia="黑体" w:cs="方正仿宋简体"/>
          <w:sz w:val="32"/>
          <w:szCs w:val="32"/>
        </w:rPr>
      </w:pPr>
      <w:r>
        <w:rPr>
          <w:rFonts w:hint="eastAsia" w:ascii="黑体" w:hAnsi="黑体" w:eastAsia="黑体" w:cs="方正仿宋简体"/>
          <w:sz w:val="32"/>
          <w:szCs w:val="32"/>
        </w:rPr>
        <w:t>供应商积分管理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供应商积分考核</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合作供应商初始积分为40分，从供应商的供货质量、交货周期、售后服务、资质信誉等方面进行考核。使用部门、管理部门、采购部门均可书面提出考核建议。风险控制部组织相关参与评标部门根据本规定对供应商进行考核并建立供应商考核情况登记表（见附件3），根据扣分情况分为继续合作、限制合作及列入负面清单三种情形。考核记分周期为1年，自被考核当日起计满1年后，考核分自动清零。</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1.继续合作供应商：考核扣分介于0～7分之间，为可继续合作的供应商。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2.限制合作供应商：考核扣分介于8～16分之间，为限制合作供应商。原辅材料采购3个月内、备品备件采购6个月内不接受该供应商投标或报价。 </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3.列入负面清单供应商：考核扣分高于16分或单项扣10分，列入负面清单供应商，1年内不接受该供应商投标或报价。</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（二）</w:t>
      </w:r>
      <w:r>
        <w:rPr>
          <w:rFonts w:hint="eastAsia" w:ascii="方正仿宋简体" w:hAnsi="方正仿宋简体" w:eastAsia="方正仿宋简体" w:cs="方正仿宋简体"/>
          <w:sz w:val="32"/>
          <w:szCs w:val="32"/>
        </w:rPr>
        <w:t>供应商考核方法</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w:t>
      </w:r>
      <w:r>
        <w:rPr>
          <w:rFonts w:hint="eastAsia" w:ascii="方正仿宋简体" w:hAnsi="方正仿宋简体" w:eastAsia="方正仿宋简体" w:cs="方正仿宋简体"/>
          <w:b/>
          <w:sz w:val="32"/>
          <w:szCs w:val="32"/>
        </w:rPr>
        <w:t>建筑施工方</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（1）质量方面</w:t>
      </w:r>
    </w:p>
    <w:p>
      <w:pPr>
        <w:tabs>
          <w:tab w:val="left" w:pos="2565"/>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sz w:val="32"/>
          <w:szCs w:val="32"/>
        </w:rPr>
        <w:t>①</w:t>
      </w:r>
      <w:r>
        <w:rPr>
          <w:rFonts w:hint="eastAsia" w:ascii="方正仿宋简体" w:hAnsi="方正仿宋简体" w:eastAsia="方正仿宋简体" w:cs="方正仿宋简体"/>
          <w:bCs/>
          <w:sz w:val="32"/>
          <w:szCs w:val="32"/>
        </w:rPr>
        <w:t>施工材料出现质量问题，及时调换，未影响生产的，单次扣1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②施工材料存在质量问题，未能及时更换，单次扣10分。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③不能满足工程质量要求的，考核5-10分。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（2）工期方面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不能满足进度要求的，考核5-10分。</w:t>
      </w:r>
    </w:p>
    <w:p>
      <w:pPr>
        <w:spacing w:line="600" w:lineRule="exact"/>
        <w:ind w:firstLine="640" w:firstLineChars="200"/>
        <w:rPr>
          <w:rFonts w:ascii="方正楷体_GBK" w:hAnsi="方正楷体_GBK" w:eastAsia="方正楷体_GBK" w:cs="方正楷体_GBK"/>
          <w:bCs/>
          <w:sz w:val="32"/>
          <w:szCs w:val="32"/>
        </w:rPr>
      </w:pPr>
      <w:r>
        <w:rPr>
          <w:rFonts w:hint="eastAsia" w:ascii="方正仿宋简体" w:hAnsi="方正仿宋简体" w:eastAsia="方正仿宋简体" w:cs="方正仿宋简体"/>
          <w:bCs/>
          <w:sz w:val="32"/>
          <w:szCs w:val="32"/>
        </w:rPr>
        <w:t>（3）安全方面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现场施工人员不服从招标方安全管理的，考核5-10分。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（4）售后方面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pPr>
        <w:spacing w:line="600" w:lineRule="exact"/>
        <w:ind w:left="560"/>
        <w:rPr>
          <w:rFonts w:ascii="方正楷体_GBK" w:hAnsi="方正楷体_GBK" w:eastAsia="方正楷体_GBK" w:cs="方正楷体_GBK"/>
          <w:bCs/>
          <w:sz w:val="32"/>
          <w:szCs w:val="32"/>
        </w:rPr>
      </w:pPr>
      <w:r>
        <w:rPr>
          <w:rFonts w:hint="eastAsia" w:ascii="方正仿宋简体" w:hAnsi="方正仿宋简体" w:eastAsia="方正仿宋简体" w:cs="方正仿宋简体"/>
          <w:sz w:val="32"/>
          <w:szCs w:val="32"/>
        </w:rPr>
        <w:t>（5）</w:t>
      </w:r>
      <w:r>
        <w:rPr>
          <w:rFonts w:hint="eastAsia" w:ascii="方正仿宋简体" w:hAnsi="方正仿宋简体" w:eastAsia="方正仿宋简体" w:cs="方正仿宋简体"/>
          <w:bCs/>
          <w:sz w:val="32"/>
          <w:szCs w:val="32"/>
        </w:rPr>
        <w:t>资信方面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2.备品备件供应商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（1）质量方面</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①所供产品出现质量问题，及时调换，未影响生产的，单次扣1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②所供产品存在质量问题，未能及时更换，单次扣10分。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③所供产品质量问题导致设备故障，视严重程度单次扣5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（2）交货方面</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①交货时无质检报告或合格证等必要资料的，单次扣2分。</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②交货时未按规定包装的，单次扣1分。</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③不能按照合同约定交货，除了按合同条款进行相应处罚外，未造成影响的，单次扣2分；造成影响的，视严重程度单次扣5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④交货过程中串通作假，视严重程度单次扣5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（3）售后方面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（4）资信方面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⑥因知识产权引起纠纷，除按合同规定执行外，视严重程度单次扣3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3.物流承运商</w:t>
      </w:r>
    </w:p>
    <w:p>
      <w:pPr>
        <w:tabs>
          <w:tab w:val="left" w:pos="851"/>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（1）车船要求方面</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①必须做到证照齐全，即车船有行驶证、道路运输证、罐检报告，人员有驾驶证、资格证、押运证等，如不全单次扣2</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5分。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②车船状况保持完好、设施齐全，发现缺损扣1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（2）计划完成方面</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运输单位须按发货计划安排车船完成运输任务，否则单次扣2分。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（3）资信方面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①中标之后拒绝签订合同或拒绝履行合同，视影响运输严重程度单次扣3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②不及时开具发票并送交至业务员，单次扣1分。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③未按实际运输任务明细开票，弄虚作假，视严重程度单次扣5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highlight w:val="yellow"/>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ascii="黑体" w:hAnsi="黑体" w:eastAsia="黑体" w:cs="仿宋"/>
          <w:b/>
          <w:bCs/>
          <w:sz w:val="34"/>
          <w:szCs w:val="34"/>
        </w:rPr>
      </w:pPr>
      <w:r>
        <w:rPr>
          <w:rFonts w:hint="eastAsia" w:ascii="方正仿宋简体" w:hAnsi="方正仿宋简体" w:eastAsia="方正仿宋简体" w:cs="方正仿宋简体"/>
          <w:b/>
          <w:bCs/>
          <w:sz w:val="32"/>
          <w:szCs w:val="32"/>
        </w:rPr>
        <w:t>从负面清单中消除的流程</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列入负面清单中的供应商只要通过整改，其产品或服务质量满足我司要求，原则上满一年以后可以申请从负面清单中消除。</w:t>
      </w:r>
    </w:p>
    <w:p>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供应商提出申请</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供应商提出负面清单消除的书面申请。</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供应商提供针对考核项的整改措施及效果等相关文件材料。</w:t>
      </w:r>
    </w:p>
    <w:p>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确认与消除</w:t>
      </w:r>
    </w:p>
    <w:p>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采购部门牵头组织相关部门对供应商提供的文件材料进行确认，必要时组织现场考察；</w:t>
      </w:r>
    </w:p>
    <w:p>
      <w:pPr>
        <w:spacing w:line="600" w:lineRule="exact"/>
        <w:ind w:firstLine="675"/>
        <w:rPr>
          <w:rFonts w:ascii="方正仿宋简体" w:hAnsi="方正仿宋简体" w:eastAsia="方正仿宋简体" w:cs="方正仿宋简体"/>
          <w:sz w:val="32"/>
          <w:szCs w:val="32"/>
        </w:rPr>
        <w:sectPr>
          <w:headerReference r:id="rId3" w:type="default"/>
          <w:footerReference r:id="rId4" w:type="default"/>
          <w:pgSz w:w="11906" w:h="16838"/>
          <w:pgMar w:top="1440" w:right="1800" w:bottom="1440" w:left="1800" w:header="851" w:footer="992" w:gutter="0"/>
          <w:cols w:space="720" w:num="1"/>
          <w:docGrid w:type="lines" w:linePitch="312" w:charSpace="0"/>
        </w:sect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根据确认情况提出建议，报公司批准</w:t>
      </w:r>
    </w:p>
    <w:p>
      <w:pPr>
        <w:tabs>
          <w:tab w:val="left" w:pos="2565"/>
        </w:tabs>
        <w:spacing w:line="600" w:lineRule="exact"/>
        <w:rPr>
          <w:rFonts w:ascii="方正仿宋简体" w:hAnsi="方正仿宋简体" w:eastAsia="方正仿宋简体" w:cs="方正仿宋简体"/>
          <w:sz w:val="32"/>
          <w:szCs w:val="32"/>
        </w:rPr>
        <w:sectPr>
          <w:pgSz w:w="16838" w:h="11906" w:orient="landscape"/>
          <w:pgMar w:top="1797" w:right="1440" w:bottom="1797" w:left="1440" w:header="851" w:footer="992" w:gutter="0"/>
          <w:cols w:space="720" w:num="1"/>
          <w:docGrid w:type="lines" w:linePitch="312" w:charSpace="0"/>
        </w:sectPr>
      </w:pPr>
    </w:p>
    <w:p>
      <w:pPr>
        <w:spacing w:line="600" w:lineRule="exact"/>
        <w:jc w:val="left"/>
        <w:rPr>
          <w:rFonts w:ascii="方正仿宋简体" w:hAnsi="方正仿宋简体" w:eastAsia="方正仿宋简体" w:cs="方正仿宋简体"/>
          <w:color w:val="000000"/>
          <w:sz w:val="32"/>
          <w:szCs w:val="32"/>
        </w:rPr>
      </w:pPr>
    </w:p>
    <w:sectPr>
      <w:pgSz w:w="11906" w:h="16838"/>
      <w:pgMar w:top="1440" w:right="1797" w:bottom="1440" w:left="1797"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Arial Unicode MS">
    <w:altName w:val="Arial"/>
    <w:panose1 w:val="020B0604020202020204"/>
    <w:charset w:val="00"/>
    <w:family w:val="roman"/>
    <w:pitch w:val="default"/>
    <w:sig w:usb0="00000000" w:usb1="00000000" w:usb2="00000000" w:usb3="00000000" w:csb0="00000001" w:csb1="00000000"/>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pStyle w:val="8"/>
                            <w:jc w:val="center"/>
                          </w:pPr>
                          <w:r>
                            <w:fldChar w:fldCharType="begin"/>
                          </w:r>
                          <w:r>
                            <w:instrText xml:space="preserve"> PAGE  \* MERGEFORMAT </w:instrText>
                          </w:r>
                          <w:r>
                            <w:fldChar w:fldCharType="separate"/>
                          </w:r>
                          <w:r>
                            <w:t>2</w:t>
                          </w:r>
                          <w:r>
                            <w:fldChar w:fldCharType="end"/>
                          </w:r>
                        </w:p>
                      </w:txbxContent>
                    </wps:txbx>
                    <wps:bodyPr wrap="none" lIns="0" tIns="0" rIns="0" bIns="0" upright="1">
                      <a:spAutoFit/>
                    </wps:bodyPr>
                  </wps:wsp>
                </a:graphicData>
              </a:graphic>
            </wp:anchor>
          </w:drawing>
        </mc:Choice>
        <mc:Fallback>
          <w:pict>
            <v:rect id="文本框 2"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GXpaxTDAQAAjwMAAA4AAABkcnMvZTJvRG9jLnhtbK1TS27bMBDdF+gd&#10;CO5ryV4UhmA5KGAkCFC0AdIegKYoiwB/mKEt+QLtDbrqpvuey+fokJKcNN1k0Y00Mxy9ee9xtLkZ&#10;rGEnBai9q/lyUXKmnPSNdoeaf/1y+27NGUbhGmG8UzU/K+Q327dvNn2o1Mp33jQKGIE4rPpQ8y7G&#10;UBUFyk5ZgQsflKPD1oMVkVI4FA2IntCtKVZl+b7oPTQBvFSIVN2Nh3xChNcA+rbVUu28PFrl4ogK&#10;yohIkrDTAfk2s21bJePntkUVmak5KY35SUMo3qdnsd2I6gAidFpOFMRrKLzQZIV2NPQKtRNRsCPo&#10;f6CsluDRt3EhvS1GIdkRUrEsX3jz2ImgshayGsPVdPx/sPLT6QGYbmgTOHPC0oVffny//Px9+fWN&#10;rZI9fcCKuh7DA0wZUpi0Di3Y9CYVbMiWnq+WqiEyScXlerVel+S2pLM5IZzi6fMAGO+UtywFNQe6&#10;s2ylOH3EOLbOLWma87faGKqLyri/CoSZKkViPHJMURz2w0R875szqe3pumvuaLs5M/eO3EybMQcw&#10;B/s5OAbQh46oLTMvDB+OkUhkbmnCCDsNpnvK6qadSovwPM9dT//R9g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5dblS0AAAAAUBAAAPAAAAAAAAAAEAIAAAACIAAABkcnMvZG93bnJldi54bWxQSwEC&#10;FAAUAAAACACHTuJAZelrFMMBAACPAwAADgAAAAAAAAABACAAAAAfAQAAZHJzL2Uyb0RvYy54bWxQ&#10;SwUGAAAAAAYABgBZAQAAVAUAAAAA&#10;">
              <v:fill on="f" focussize="0,0"/>
              <v:stroke on="f"/>
              <v:imagedata o:title=""/>
              <o:lock v:ext="edit" aspectratio="f"/>
              <v:textbox inset="0mm,0mm,0mm,0mm" style="mso-fit-shape-to-text:t;">
                <w:txbxContent>
                  <w:p>
                    <w:pPr>
                      <w:pStyle w:val="8"/>
                      <w:jc w:val="center"/>
                    </w:pPr>
                    <w:r>
                      <w:fldChar w:fldCharType="begin"/>
                    </w:r>
                    <w:r>
                      <w:instrText xml:space="preserve"> PAGE  \* MERGEFORMAT </w:instrText>
                    </w:r>
                    <w:r>
                      <w:fldChar w:fldCharType="separate"/>
                    </w:r>
                    <w:r>
                      <w:t>2</w:t>
                    </w:r>
                    <w: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single" w:color="auto" w:sz="4" w:space="1"/>
      </w:pBdr>
      <w:jc w:val="right"/>
    </w:pPr>
    <w:r>
      <w:rPr>
        <w:rFonts w:hint="eastAsia"/>
      </w:rPr>
      <w:t>镇江海纳川物流产业发展有限责任公司</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EwNDY2YTI5NjhmZmZjMjIxYzU0Y2ZmMTU3ZjJkNmIifQ=="/>
  </w:docVars>
  <w:rsids>
    <w:rsidRoot w:val="359E47FF"/>
    <w:rsid w:val="00006E2D"/>
    <w:rsid w:val="00014585"/>
    <w:rsid w:val="00017179"/>
    <w:rsid w:val="00020147"/>
    <w:rsid w:val="00027381"/>
    <w:rsid w:val="00030D33"/>
    <w:rsid w:val="00030EA4"/>
    <w:rsid w:val="00030F87"/>
    <w:rsid w:val="00044BD1"/>
    <w:rsid w:val="000456FE"/>
    <w:rsid w:val="00070D02"/>
    <w:rsid w:val="00090631"/>
    <w:rsid w:val="00090B35"/>
    <w:rsid w:val="0009250C"/>
    <w:rsid w:val="000A1760"/>
    <w:rsid w:val="000A22DB"/>
    <w:rsid w:val="000A2441"/>
    <w:rsid w:val="000A4392"/>
    <w:rsid w:val="000B5C62"/>
    <w:rsid w:val="000C0085"/>
    <w:rsid w:val="000C1845"/>
    <w:rsid w:val="000C73E1"/>
    <w:rsid w:val="000D6A23"/>
    <w:rsid w:val="000E4695"/>
    <w:rsid w:val="0010553B"/>
    <w:rsid w:val="00122263"/>
    <w:rsid w:val="001260B7"/>
    <w:rsid w:val="0013620C"/>
    <w:rsid w:val="00160290"/>
    <w:rsid w:val="00166793"/>
    <w:rsid w:val="00193418"/>
    <w:rsid w:val="001A3458"/>
    <w:rsid w:val="001A7663"/>
    <w:rsid w:val="001A776A"/>
    <w:rsid w:val="001A7FE6"/>
    <w:rsid w:val="001C45B4"/>
    <w:rsid w:val="001C73AC"/>
    <w:rsid w:val="001E30C1"/>
    <w:rsid w:val="001F16BE"/>
    <w:rsid w:val="001F6542"/>
    <w:rsid w:val="00207D62"/>
    <w:rsid w:val="00210C67"/>
    <w:rsid w:val="00211B5C"/>
    <w:rsid w:val="002133E5"/>
    <w:rsid w:val="0024403B"/>
    <w:rsid w:val="002656EC"/>
    <w:rsid w:val="00277310"/>
    <w:rsid w:val="00277F2B"/>
    <w:rsid w:val="00284D5B"/>
    <w:rsid w:val="0029332A"/>
    <w:rsid w:val="002A58C3"/>
    <w:rsid w:val="002C35E8"/>
    <w:rsid w:val="002C678D"/>
    <w:rsid w:val="002D0CA9"/>
    <w:rsid w:val="002D754A"/>
    <w:rsid w:val="002E4BC6"/>
    <w:rsid w:val="002E773D"/>
    <w:rsid w:val="002F66BD"/>
    <w:rsid w:val="00312862"/>
    <w:rsid w:val="00320E57"/>
    <w:rsid w:val="00331F42"/>
    <w:rsid w:val="00342302"/>
    <w:rsid w:val="00342EE5"/>
    <w:rsid w:val="00355E41"/>
    <w:rsid w:val="003732C8"/>
    <w:rsid w:val="003A29B9"/>
    <w:rsid w:val="003A4CFD"/>
    <w:rsid w:val="003A5C51"/>
    <w:rsid w:val="003C0E94"/>
    <w:rsid w:val="003C384A"/>
    <w:rsid w:val="003C775F"/>
    <w:rsid w:val="003D11DF"/>
    <w:rsid w:val="003D29B1"/>
    <w:rsid w:val="003E6F45"/>
    <w:rsid w:val="00413897"/>
    <w:rsid w:val="004536C2"/>
    <w:rsid w:val="00455075"/>
    <w:rsid w:val="004551A3"/>
    <w:rsid w:val="00460D82"/>
    <w:rsid w:val="00466243"/>
    <w:rsid w:val="004840C3"/>
    <w:rsid w:val="004875EB"/>
    <w:rsid w:val="004936F2"/>
    <w:rsid w:val="004975D5"/>
    <w:rsid w:val="004B5C7C"/>
    <w:rsid w:val="004B652F"/>
    <w:rsid w:val="004C1280"/>
    <w:rsid w:val="004C289D"/>
    <w:rsid w:val="004D30D3"/>
    <w:rsid w:val="004E6EA7"/>
    <w:rsid w:val="004E789D"/>
    <w:rsid w:val="004F4F62"/>
    <w:rsid w:val="004F5E27"/>
    <w:rsid w:val="004F6ADB"/>
    <w:rsid w:val="005119C0"/>
    <w:rsid w:val="00546FD9"/>
    <w:rsid w:val="00550D17"/>
    <w:rsid w:val="005522B3"/>
    <w:rsid w:val="0056162E"/>
    <w:rsid w:val="005779CC"/>
    <w:rsid w:val="00587211"/>
    <w:rsid w:val="00594109"/>
    <w:rsid w:val="005A66DB"/>
    <w:rsid w:val="005B0ADF"/>
    <w:rsid w:val="005B58C8"/>
    <w:rsid w:val="005F6FF4"/>
    <w:rsid w:val="0061229B"/>
    <w:rsid w:val="00613278"/>
    <w:rsid w:val="006251E4"/>
    <w:rsid w:val="006364E3"/>
    <w:rsid w:val="00641060"/>
    <w:rsid w:val="00644569"/>
    <w:rsid w:val="00644B92"/>
    <w:rsid w:val="00670735"/>
    <w:rsid w:val="00676AAE"/>
    <w:rsid w:val="006835A9"/>
    <w:rsid w:val="00692AAE"/>
    <w:rsid w:val="006A1D0F"/>
    <w:rsid w:val="006A26A7"/>
    <w:rsid w:val="006D00BD"/>
    <w:rsid w:val="006D3CEC"/>
    <w:rsid w:val="006D7CC1"/>
    <w:rsid w:val="006E00F2"/>
    <w:rsid w:val="006E0809"/>
    <w:rsid w:val="006E7FF4"/>
    <w:rsid w:val="006F11B5"/>
    <w:rsid w:val="007254B5"/>
    <w:rsid w:val="00726294"/>
    <w:rsid w:val="00743DA4"/>
    <w:rsid w:val="00753CD1"/>
    <w:rsid w:val="00756CEF"/>
    <w:rsid w:val="007615F1"/>
    <w:rsid w:val="007673CE"/>
    <w:rsid w:val="007856FB"/>
    <w:rsid w:val="007875CD"/>
    <w:rsid w:val="007A06F7"/>
    <w:rsid w:val="007B12D6"/>
    <w:rsid w:val="007D630F"/>
    <w:rsid w:val="007E2663"/>
    <w:rsid w:val="007E6E47"/>
    <w:rsid w:val="007E7643"/>
    <w:rsid w:val="00801C0C"/>
    <w:rsid w:val="008124CB"/>
    <w:rsid w:val="008253EA"/>
    <w:rsid w:val="00836B33"/>
    <w:rsid w:val="00842B41"/>
    <w:rsid w:val="00856599"/>
    <w:rsid w:val="00862EB5"/>
    <w:rsid w:val="00882A3F"/>
    <w:rsid w:val="008B2FD2"/>
    <w:rsid w:val="008C12C6"/>
    <w:rsid w:val="008C785B"/>
    <w:rsid w:val="008D0252"/>
    <w:rsid w:val="008D117B"/>
    <w:rsid w:val="008D2F65"/>
    <w:rsid w:val="008D5377"/>
    <w:rsid w:val="0091028A"/>
    <w:rsid w:val="009224D1"/>
    <w:rsid w:val="0093613E"/>
    <w:rsid w:val="00975ECA"/>
    <w:rsid w:val="009A7843"/>
    <w:rsid w:val="009C20D2"/>
    <w:rsid w:val="009C4225"/>
    <w:rsid w:val="009D1883"/>
    <w:rsid w:val="009E1173"/>
    <w:rsid w:val="009F3009"/>
    <w:rsid w:val="00A054F9"/>
    <w:rsid w:val="00A343E4"/>
    <w:rsid w:val="00A43176"/>
    <w:rsid w:val="00A46983"/>
    <w:rsid w:val="00A5038B"/>
    <w:rsid w:val="00A63D7F"/>
    <w:rsid w:val="00A70A88"/>
    <w:rsid w:val="00A7381A"/>
    <w:rsid w:val="00A91112"/>
    <w:rsid w:val="00A934E7"/>
    <w:rsid w:val="00A97749"/>
    <w:rsid w:val="00AB123D"/>
    <w:rsid w:val="00AB605D"/>
    <w:rsid w:val="00AB6095"/>
    <w:rsid w:val="00AB6F6D"/>
    <w:rsid w:val="00AB732F"/>
    <w:rsid w:val="00AC569D"/>
    <w:rsid w:val="00AC5E42"/>
    <w:rsid w:val="00AC6D64"/>
    <w:rsid w:val="00AE13AC"/>
    <w:rsid w:val="00B17FFA"/>
    <w:rsid w:val="00B26645"/>
    <w:rsid w:val="00B3353E"/>
    <w:rsid w:val="00B353E5"/>
    <w:rsid w:val="00B35C7E"/>
    <w:rsid w:val="00B42231"/>
    <w:rsid w:val="00B51C96"/>
    <w:rsid w:val="00B74619"/>
    <w:rsid w:val="00B82CED"/>
    <w:rsid w:val="00B8326B"/>
    <w:rsid w:val="00B90950"/>
    <w:rsid w:val="00BA301F"/>
    <w:rsid w:val="00BC0B5B"/>
    <w:rsid w:val="00BD31F2"/>
    <w:rsid w:val="00BD78FB"/>
    <w:rsid w:val="00BE4922"/>
    <w:rsid w:val="00BE5CBE"/>
    <w:rsid w:val="00BE5D4A"/>
    <w:rsid w:val="00BF10B4"/>
    <w:rsid w:val="00BF2809"/>
    <w:rsid w:val="00BF3A14"/>
    <w:rsid w:val="00BF3A1A"/>
    <w:rsid w:val="00BF7461"/>
    <w:rsid w:val="00C12B8D"/>
    <w:rsid w:val="00C258E8"/>
    <w:rsid w:val="00C25924"/>
    <w:rsid w:val="00C32DF9"/>
    <w:rsid w:val="00C47A86"/>
    <w:rsid w:val="00C50B39"/>
    <w:rsid w:val="00C56465"/>
    <w:rsid w:val="00C64DD7"/>
    <w:rsid w:val="00C820EB"/>
    <w:rsid w:val="00C84A6E"/>
    <w:rsid w:val="00C97E7F"/>
    <w:rsid w:val="00CD5113"/>
    <w:rsid w:val="00CE3E58"/>
    <w:rsid w:val="00CE6B17"/>
    <w:rsid w:val="00D24639"/>
    <w:rsid w:val="00D32CC0"/>
    <w:rsid w:val="00D374BD"/>
    <w:rsid w:val="00D420A6"/>
    <w:rsid w:val="00D4693D"/>
    <w:rsid w:val="00D51C9C"/>
    <w:rsid w:val="00D51EE2"/>
    <w:rsid w:val="00D63FF4"/>
    <w:rsid w:val="00D71199"/>
    <w:rsid w:val="00DC1973"/>
    <w:rsid w:val="00DC3BAB"/>
    <w:rsid w:val="00DD152B"/>
    <w:rsid w:val="00DD194E"/>
    <w:rsid w:val="00DD32A7"/>
    <w:rsid w:val="00DD36C8"/>
    <w:rsid w:val="00DE6C35"/>
    <w:rsid w:val="00E14327"/>
    <w:rsid w:val="00E153F7"/>
    <w:rsid w:val="00E21521"/>
    <w:rsid w:val="00E45A9C"/>
    <w:rsid w:val="00E4738E"/>
    <w:rsid w:val="00E533FF"/>
    <w:rsid w:val="00E60D23"/>
    <w:rsid w:val="00E6179A"/>
    <w:rsid w:val="00E73B72"/>
    <w:rsid w:val="00E74639"/>
    <w:rsid w:val="00E95473"/>
    <w:rsid w:val="00E9659A"/>
    <w:rsid w:val="00EA3C20"/>
    <w:rsid w:val="00EC47B8"/>
    <w:rsid w:val="00ED646F"/>
    <w:rsid w:val="00F16E4B"/>
    <w:rsid w:val="00F32DB5"/>
    <w:rsid w:val="00F360AB"/>
    <w:rsid w:val="00F45B42"/>
    <w:rsid w:val="00F474AF"/>
    <w:rsid w:val="00F5619B"/>
    <w:rsid w:val="00F64736"/>
    <w:rsid w:val="00F764A5"/>
    <w:rsid w:val="00F82531"/>
    <w:rsid w:val="00FA1409"/>
    <w:rsid w:val="00FB4787"/>
    <w:rsid w:val="00FC2CA3"/>
    <w:rsid w:val="00FC404C"/>
    <w:rsid w:val="00FD28F4"/>
    <w:rsid w:val="00FD66A7"/>
    <w:rsid w:val="00FE007B"/>
    <w:rsid w:val="00FF61CA"/>
    <w:rsid w:val="0355512A"/>
    <w:rsid w:val="04E42F38"/>
    <w:rsid w:val="076D668F"/>
    <w:rsid w:val="0CCD460E"/>
    <w:rsid w:val="0EDC703A"/>
    <w:rsid w:val="0F866E5F"/>
    <w:rsid w:val="126F548F"/>
    <w:rsid w:val="1444244B"/>
    <w:rsid w:val="148B12E6"/>
    <w:rsid w:val="14EA645D"/>
    <w:rsid w:val="19181A3A"/>
    <w:rsid w:val="19DD0389"/>
    <w:rsid w:val="1A3D3083"/>
    <w:rsid w:val="1D074620"/>
    <w:rsid w:val="20684DBC"/>
    <w:rsid w:val="20A41476"/>
    <w:rsid w:val="20CF030D"/>
    <w:rsid w:val="22140B6D"/>
    <w:rsid w:val="225D796E"/>
    <w:rsid w:val="24EC6623"/>
    <w:rsid w:val="251B2B2D"/>
    <w:rsid w:val="25BC2C7C"/>
    <w:rsid w:val="2BBD3669"/>
    <w:rsid w:val="2E16582B"/>
    <w:rsid w:val="2E4116FA"/>
    <w:rsid w:val="2E76621A"/>
    <w:rsid w:val="31262BAF"/>
    <w:rsid w:val="330F093A"/>
    <w:rsid w:val="33AD1E6F"/>
    <w:rsid w:val="34E37CA8"/>
    <w:rsid w:val="359E47FF"/>
    <w:rsid w:val="35B72FCB"/>
    <w:rsid w:val="35C91817"/>
    <w:rsid w:val="35DA3E68"/>
    <w:rsid w:val="379A3E49"/>
    <w:rsid w:val="37AD1125"/>
    <w:rsid w:val="39050DB8"/>
    <w:rsid w:val="391E61C3"/>
    <w:rsid w:val="3D98669F"/>
    <w:rsid w:val="416D2207"/>
    <w:rsid w:val="43EC12FF"/>
    <w:rsid w:val="44E509D4"/>
    <w:rsid w:val="455B22CF"/>
    <w:rsid w:val="4A434323"/>
    <w:rsid w:val="4B060719"/>
    <w:rsid w:val="4C9F173F"/>
    <w:rsid w:val="4D185277"/>
    <w:rsid w:val="4DC0511E"/>
    <w:rsid w:val="4FAC5BC3"/>
    <w:rsid w:val="4FC61FF0"/>
    <w:rsid w:val="50846203"/>
    <w:rsid w:val="50DD469C"/>
    <w:rsid w:val="51ED4DB3"/>
    <w:rsid w:val="538763B9"/>
    <w:rsid w:val="55DC546E"/>
    <w:rsid w:val="579C3951"/>
    <w:rsid w:val="596D6B7C"/>
    <w:rsid w:val="5CEC747F"/>
    <w:rsid w:val="5FC1162D"/>
    <w:rsid w:val="654407EC"/>
    <w:rsid w:val="66202ABE"/>
    <w:rsid w:val="66441755"/>
    <w:rsid w:val="66CF713B"/>
    <w:rsid w:val="68961ACE"/>
    <w:rsid w:val="6B1479D8"/>
    <w:rsid w:val="6B5B4715"/>
    <w:rsid w:val="6D9745DB"/>
    <w:rsid w:val="726141AB"/>
    <w:rsid w:val="72B172DF"/>
    <w:rsid w:val="7406451D"/>
    <w:rsid w:val="756A3232"/>
    <w:rsid w:val="76853A1F"/>
    <w:rsid w:val="76CA658E"/>
    <w:rsid w:val="783458C3"/>
    <w:rsid w:val="79DC6491"/>
    <w:rsid w:val="7A1E0C67"/>
    <w:rsid w:val="7B044DE1"/>
    <w:rsid w:val="7BFF2E69"/>
    <w:rsid w:val="7D8A2C07"/>
    <w:rsid w:val="7DD768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99"/>
    <w:pPr>
      <w:keepNext/>
      <w:keepLines/>
      <w:spacing w:line="600" w:lineRule="exact"/>
      <w:jc w:val="center"/>
      <w:outlineLvl w:val="0"/>
    </w:pPr>
    <w:rPr>
      <w:rFonts w:ascii="Calibri" w:hAnsi="Calibri"/>
      <w:kern w:val="44"/>
      <w:sz w:val="44"/>
    </w:rPr>
  </w:style>
  <w:style w:type="paragraph" w:styleId="2">
    <w:name w:val="heading 2"/>
    <w:basedOn w:val="1"/>
    <w:next w:val="1"/>
    <w:qFormat/>
    <w:uiPriority w:val="0"/>
    <w:pPr>
      <w:keepNext/>
      <w:keepLines/>
      <w:spacing w:before="260" w:after="260" w:line="413" w:lineRule="auto"/>
      <w:outlineLvl w:val="1"/>
    </w:pPr>
    <w:rPr>
      <w:rFonts w:ascii="Arial" w:hAnsi="Arial" w:eastAsia="黑体"/>
      <w:b/>
      <w:sz w:val="32"/>
    </w:rPr>
  </w:style>
  <w:style w:type="character" w:default="1" w:styleId="15">
    <w:name w:val="Default Paragraph Font"/>
    <w:semiHidden/>
    <w:unhideWhenUsed/>
    <w:uiPriority w:val="1"/>
  </w:style>
  <w:style w:type="table" w:default="1" w:styleId="13">
    <w:name w:val="Normal Table"/>
    <w:semiHidden/>
    <w:unhideWhenUsed/>
    <w:uiPriority w:val="99"/>
    <w:tblPr>
      <w:tblCellMar>
        <w:top w:w="0" w:type="dxa"/>
        <w:left w:w="108" w:type="dxa"/>
        <w:bottom w:w="0" w:type="dxa"/>
        <w:right w:w="108" w:type="dxa"/>
      </w:tblCellMar>
    </w:tblPr>
  </w:style>
  <w:style w:type="paragraph" w:styleId="4">
    <w:name w:val="annotation text"/>
    <w:basedOn w:val="1"/>
    <w:unhideWhenUsed/>
    <w:qFormat/>
    <w:uiPriority w:val="99"/>
    <w:pPr>
      <w:jc w:val="left"/>
    </w:pPr>
  </w:style>
  <w:style w:type="paragraph" w:styleId="5">
    <w:name w:val="Body Text"/>
    <w:basedOn w:val="1"/>
    <w:next w:val="6"/>
    <w:unhideWhenUsed/>
    <w:qFormat/>
    <w:uiPriority w:val="99"/>
    <w:pPr>
      <w:spacing w:after="120"/>
    </w:pPr>
  </w:style>
  <w:style w:type="paragraph" w:styleId="6">
    <w:name w:val="Plain Text"/>
    <w:basedOn w:val="1"/>
    <w:unhideWhenUsed/>
    <w:qFormat/>
    <w:uiPriority w:val="99"/>
    <w:rPr>
      <w:rFonts w:ascii="宋体" w:hAnsi="Courier New"/>
      <w:kern w:val="0"/>
      <w:sz w:val="20"/>
    </w:rPr>
  </w:style>
  <w:style w:type="paragraph" w:styleId="7">
    <w:name w:val="Body Text Indent"/>
    <w:basedOn w:val="1"/>
    <w:unhideWhenUsed/>
    <w:qFormat/>
    <w:uiPriority w:val="0"/>
    <w:pPr>
      <w:spacing w:after="120"/>
      <w:ind w:left="420" w:leftChars="200"/>
    </w:pPr>
  </w:style>
  <w:style w:type="paragraph" w:styleId="8">
    <w:name w:val="footer"/>
    <w:basedOn w:val="1"/>
    <w:qFormat/>
    <w:uiPriority w:val="99"/>
    <w:pPr>
      <w:tabs>
        <w:tab w:val="center" w:pos="4153"/>
        <w:tab w:val="right" w:pos="8306"/>
      </w:tabs>
      <w:snapToGrid w:val="0"/>
      <w:jc w:val="left"/>
    </w:pPr>
    <w:rPr>
      <w:sz w:val="18"/>
      <w:szCs w:val="18"/>
    </w:rPr>
  </w:style>
  <w:style w:type="paragraph" w:styleId="9">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0">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paragraph" w:styleId="11">
    <w:name w:val="Title"/>
    <w:basedOn w:val="1"/>
    <w:next w:val="1"/>
    <w:qFormat/>
    <w:uiPriority w:val="0"/>
    <w:pPr>
      <w:spacing w:before="240" w:after="60"/>
      <w:jc w:val="center"/>
      <w:outlineLvl w:val="0"/>
    </w:pPr>
    <w:rPr>
      <w:rFonts w:ascii="Cambria" w:hAnsi="Cambria"/>
      <w:b/>
      <w:bCs/>
      <w:kern w:val="0"/>
      <w:sz w:val="32"/>
      <w:szCs w:val="32"/>
    </w:rPr>
  </w:style>
  <w:style w:type="paragraph" w:styleId="12">
    <w:name w:val="Body Text First Indent 2"/>
    <w:basedOn w:val="7"/>
    <w:qFormat/>
    <w:uiPriority w:val="99"/>
    <w:pPr>
      <w:adjustRightInd w:val="0"/>
      <w:spacing w:after="0" w:line="312" w:lineRule="atLeast"/>
      <w:ind w:left="1296" w:leftChars="0"/>
      <w:textAlignment w:val="baseline"/>
    </w:pPr>
    <w:rPr>
      <w:rFonts w:eastAsia="仿宋_GB2312"/>
      <w:kern w:val="21"/>
      <w:sz w:val="32"/>
    </w:rPr>
  </w:style>
  <w:style w:type="table" w:styleId="14">
    <w:name w:val="Table Grid"/>
    <w:basedOn w:val="13"/>
    <w:uiPriority w:val="0"/>
    <w:pPr>
      <w:widowControl w:val="0"/>
      <w:jc w:val="both"/>
    </w:pPr>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6">
    <w:name w:val="列出段落11"/>
    <w:basedOn w:val="1"/>
    <w:qFormat/>
    <w:uiPriority w:val="99"/>
    <w:pPr>
      <w:ind w:firstLine="420" w:firstLineChars="200"/>
    </w:pPr>
  </w:style>
  <w:style w:type="paragraph" w:customStyle="1" w:styleId="17">
    <w:name w:val="reader-word-layer"/>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8">
    <w:name w:val="列出段落1"/>
    <w:basedOn w:val="1"/>
    <w:qFormat/>
    <w:uiPriority w:val="34"/>
    <w:pPr>
      <w:ind w:firstLine="420" w:firstLineChars="200"/>
    </w:pPr>
  </w:style>
  <w:style w:type="paragraph" w:customStyle="1" w:styleId="19">
    <w:name w:val="Default"/>
    <w:qFormat/>
    <w:uiPriority w:val="99"/>
    <w:pPr>
      <w:widowControl w:val="0"/>
      <w:autoSpaceDE w:val="0"/>
      <w:autoSpaceDN w:val="0"/>
      <w:adjustRightInd w:val="0"/>
    </w:pPr>
    <w:rPr>
      <w:rFonts w:ascii="Arial Unicode MS" w:hAnsi="Arial Unicode MS" w:eastAsia="Arial Unicode MS" w:cs="Times New Roman"/>
      <w:color w:val="000000"/>
      <w:sz w:val="24"/>
      <w:lang w:val="en-US" w:eastAsia="zh-CN" w:bidi="ar-SA"/>
    </w:rPr>
  </w:style>
  <w:style w:type="paragraph" w:customStyle="1" w:styleId="20">
    <w:name w:val="样式 小四"/>
    <w:qFormat/>
    <w:uiPriority w:val="99"/>
    <w:pPr>
      <w:widowControl w:val="0"/>
      <w:adjustRightInd w:val="0"/>
      <w:spacing w:line="360" w:lineRule="atLeast"/>
      <w:textAlignment w:val="baseline"/>
    </w:pPr>
    <w:rPr>
      <w:rFonts w:ascii="Times New Roman" w:hAnsi="Times New Roman" w:eastAsia="宋体" w:cs="Calibri"/>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1042</Words>
  <Characters>5943</Characters>
  <Lines>49</Lines>
  <Paragraphs>13</Paragraphs>
  <TotalTime>1</TotalTime>
  <ScaleCrop>false</ScaleCrop>
  <LinksUpToDate>false</LinksUpToDate>
  <CharactersWithSpaces>6972</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2019-12-10T03:51:00Z</dcterms:created>
  <dc:creator>Administrator</dc:creator>
  <cp:lastModifiedBy>邵蕾✨</cp:lastModifiedBy>
  <cp:lastPrinted>2023-03-16T00:26:00Z</cp:lastPrinted>
  <dcterms:modified xsi:type="dcterms:W3CDTF">2023-09-08T00:21:30Z</dcterms:modified>
  <dc:title>镇江海纳川物流产业发展有限责任公司</dc:title>
  <cp:revision>228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31C32E83394248B3BAE7D1AF1360BA57_13</vt:lpwstr>
  </property>
</Properties>
</file>