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2"/>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jc w:val="left"/>
        <w:rPr>
          <w:rFonts w:ascii="宋体" w:hAnsi="宋体" w:cs="仿宋_GB2312"/>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2023至2024年度公铁运输公司轮胎及附件框架协议采购</w:t>
      </w:r>
    </w:p>
    <w:p>
      <w:pPr>
        <w:spacing w:line="600" w:lineRule="exact"/>
        <w:ind w:firstLine="420" w:firstLineChars="200"/>
        <w:jc w:val="left"/>
        <w:rPr>
          <w:rFonts w:ascii="宋体" w:hAnsi="宋体" w:cs="ÑÚSå"/>
          <w:bCs/>
          <w:kern w:val="1"/>
          <w:szCs w:val="21"/>
        </w:rPr>
      </w:pPr>
      <w:r>
        <w:rPr>
          <w:rFonts w:hint="eastAsia" w:ascii="宋体" w:hAnsi="宋体" w:cs="ÑÚSå"/>
          <w:bCs/>
          <w:kern w:val="1"/>
          <w:szCs w:val="21"/>
        </w:rPr>
        <w:t xml:space="preserve">  </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：2023</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9</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20</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通知送货后2小时内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2023年9月21日上午9点30分</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2023年9月21日上午9点30分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kern w:val="1"/>
          <w:sz w:val="32"/>
          <w:szCs w:val="32"/>
        </w:rPr>
        <w:t xml:space="preserve">    2.</w:t>
      </w:r>
      <w:r>
        <w:rPr>
          <w:rFonts w:hint="eastAsia" w:ascii="方正仿宋简体" w:hAnsi="方正仿宋简体" w:eastAsia="方正仿宋简体" w:cs="方正仿宋简体"/>
          <w:bCs/>
          <w:kern w:val="44"/>
          <w:sz w:val="32"/>
          <w:szCs w:val="32"/>
        </w:rPr>
        <w:t>技术标准</w:t>
      </w:r>
    </w:p>
    <w:p>
      <w:pPr>
        <w:wordWrap w:val="0"/>
        <w:spacing w:line="360" w:lineRule="auto"/>
        <w:ind w:left="284"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2.1 投标方必须严格按照我公司招标文件中物料的规格、型号及建议品牌要求报价，不得修改报价函的内容和调整顺序，保证提供满足相关国家标准或行业标准,符合国家CCC认证要求；并满足我公司现场使用的质量，规格，型号等技术要求，并且符合安全规范要求和技术标准。</w:t>
      </w:r>
    </w:p>
    <w:p>
      <w:pPr>
        <w:spacing w:line="600" w:lineRule="exact"/>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2.2质量要求：</w:t>
      </w:r>
    </w:p>
    <w:p>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（1）叉车、危货车辆及装载机轮胎和别克商务车和迈腾轮胎品牌符合招标文件要求；</w:t>
      </w:r>
    </w:p>
    <w:p>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（2）满足镇江市内救援，动平衡四轮定位，拆装换位，测胎压等服务要求；</w:t>
      </w:r>
    </w:p>
    <w:p>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（3）</w:t>
      </w:r>
      <w:r>
        <w:rPr>
          <w:rFonts w:hint="eastAsia" w:ascii="方正仿宋简体" w:hAnsi="方正仿宋简体" w:eastAsia="方正仿宋简体" w:cs="方正仿宋简体"/>
          <w:bCs/>
          <w:color w:val="FF0000"/>
          <w:kern w:val="44"/>
          <w:sz w:val="32"/>
          <w:szCs w:val="32"/>
          <w:highlight w:val="yellow"/>
        </w:rPr>
        <w:t>每次更换新轮胎或补胎包含拆装，叉车和装载机轮胎拆装地点必须上门服务；危货车辆、轿车及商务车更换新轮胎或补胎由招标方将车辆行驶至中标单位指定地点（距离为镇江海纳川公铁运输公司汽修厂房3kw范围内）更换或补胎，或者由中标单位上门服务</w:t>
      </w:r>
      <w:r>
        <w:rPr>
          <w:rFonts w:hint="eastAsia" w:ascii="方正仿宋简体" w:hAnsi="方正仿宋简体" w:eastAsia="方正仿宋简体" w:cs="方正仿宋简体"/>
          <w:bCs/>
          <w:kern w:val="44"/>
          <w:sz w:val="32"/>
          <w:szCs w:val="32"/>
        </w:rPr>
        <w:t>。</w:t>
      </w:r>
    </w:p>
    <w:p>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（4）更换的旧轮胎由中标单位自行处理；</w:t>
      </w:r>
    </w:p>
    <w:p>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（5）在规定的时间内非人为因素造成的起泡爆胎由中标单位无偿更换新胎；</w:t>
      </w:r>
    </w:p>
    <w:p>
      <w:pPr>
        <w:spacing w:line="360" w:lineRule="auto"/>
        <w:ind w:firstLine="320" w:firstLineChars="1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（6）针对更换轮胎或补胎，由招标方书面通知（含短信、微信）中标方，</w:t>
      </w:r>
      <w:r>
        <w:rPr>
          <w:rFonts w:hint="eastAsia" w:ascii="方正仿宋简体" w:hAnsi="方正仿宋简体" w:eastAsia="方正仿宋简体" w:cs="方正仿宋简体"/>
          <w:bCs/>
          <w:color w:val="FF0000"/>
          <w:kern w:val="44"/>
          <w:sz w:val="32"/>
          <w:szCs w:val="32"/>
          <w:highlight w:val="yellow"/>
        </w:rPr>
        <w:t>中标方应在接到通知30分钟内给予技术回复</w:t>
      </w:r>
      <w:r>
        <w:rPr>
          <w:rFonts w:hint="eastAsia" w:ascii="方正仿宋简体" w:hAnsi="方正仿宋简体" w:eastAsia="方正仿宋简体" w:cs="方正仿宋简体"/>
          <w:bCs/>
          <w:kern w:val="44"/>
          <w:sz w:val="32"/>
          <w:szCs w:val="32"/>
        </w:rPr>
        <w:t>，并第一时间安排人员到现场开展维修工作，每次维修结束后2日内，中标方须及时办理维修工作量手续，并经招标方相关人员签字确认，作为考核维修单位维修质量及结算费用的依据。</w:t>
      </w:r>
    </w:p>
    <w:p>
      <w:pPr>
        <w:spacing w:line="600" w:lineRule="exact"/>
        <w:ind w:firstLine="640" w:firstLineChars="200"/>
        <w:jc w:val="left"/>
        <w:rPr>
          <w:rFonts w:ascii="方正仿宋简体" w:hAnsi="方正仿宋简体" w:eastAsia="方正仿宋简体" w:cs="方正仿宋简体"/>
          <w:bCs/>
          <w:kern w:val="44"/>
          <w:sz w:val="32"/>
          <w:szCs w:val="32"/>
        </w:rPr>
      </w:pP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color w:val="FF0000"/>
          <w:kern w:val="1"/>
          <w:sz w:val="32"/>
          <w:szCs w:val="32"/>
        </w:rPr>
        <w:t>以上文件均需加盖公章</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30分钟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4"/>
        <w:spacing w:after="0" w:line="600" w:lineRule="exact"/>
        <w:ind w:firstLine="640" w:firstLineChars="200"/>
        <w:rPr>
          <w:rFonts w:ascii="方正仿宋简体" w:hAnsi="方正仿宋简体" w:eastAsia="方正仿宋简体" w:cs="方正仿宋简体"/>
          <w:bCs/>
          <w:sz w:val="30"/>
          <w:szCs w:val="30"/>
        </w:rPr>
      </w:pPr>
      <w:r>
        <w:rPr>
          <w:rFonts w:hint="eastAsia" w:ascii="方正仿宋简体" w:hAnsi="方正仿宋简体" w:eastAsia="方正仿宋简体" w:cs="方正仿宋简体"/>
          <w:bCs/>
          <w:kern w:val="1"/>
          <w:sz w:val="32"/>
          <w:szCs w:val="32"/>
        </w:rPr>
        <w:t xml:space="preserve">5. </w:t>
      </w:r>
      <w:r>
        <w:rPr>
          <w:rFonts w:hint="eastAsia" w:ascii="方正仿宋简体" w:hAnsi="方正仿宋简体" w:eastAsia="方正仿宋简体" w:cs="方正仿宋简体"/>
          <w:bCs/>
          <w:sz w:val="30"/>
          <w:szCs w:val="30"/>
        </w:rPr>
        <w:t>报价方认真核算货物的单价，发现报价明显低于市场公允价值，恶性竞争的，买受人有权根据单价选择采购；发现有串通等扰乱我方经营秩序的恶劣情况，按废标处理。</w:t>
      </w:r>
    </w:p>
    <w:p>
      <w:pPr>
        <w:pStyle w:val="5"/>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仿宋简体" w:hAnsi="方正仿宋简体" w:eastAsia="方正仿宋简体" w:cs="方正仿宋简体"/>
          <w:bCs/>
          <w:kern w:val="2"/>
          <w:sz w:val="32"/>
          <w:szCs w:val="32"/>
        </w:rPr>
        <w:t xml:space="preserve">6. </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4"/>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
    <w:p/>
    <w:p/>
    <w:p/>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p>
      <w:pPr>
        <w:spacing w:line="600" w:lineRule="exact"/>
        <w:jc w:val="left"/>
        <w:rPr>
          <w:rFonts w:ascii="方正仿宋简体" w:hAnsi="方正仿宋简体" w:eastAsia="方正仿宋简体" w:cs="方正仿宋简体"/>
          <w:kern w:val="1"/>
          <w:sz w:val="32"/>
          <w:szCs w:val="32"/>
        </w:rPr>
      </w:pPr>
    </w:p>
    <w:p>
      <w:pPr>
        <w:spacing w:line="600" w:lineRule="exact"/>
        <w:rPr>
          <w:rFonts w:ascii="方正仿宋简体" w:hAnsi="方正仿宋简体" w:eastAsia="方正仿宋简体" w:cs="方正仿宋简体"/>
          <w:sz w:val="32"/>
          <w:szCs w:val="32"/>
        </w:rPr>
      </w:pPr>
    </w:p>
    <w:p>
      <w:pPr>
        <w:pStyle w:val="4"/>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tbl>
      <w:tblPr>
        <w:tblStyle w:val="11"/>
        <w:tblpPr w:leftFromText="180" w:rightFromText="180" w:vertAnchor="page" w:horzAnchor="page" w:tblpX="1800" w:tblpY="1818"/>
        <w:tblOverlap w:val="never"/>
        <w:tblW w:w="8882" w:type="dxa"/>
        <w:tblInd w:w="0" w:type="dxa"/>
        <w:tblLayout w:type="fixed"/>
        <w:tblCellMar>
          <w:top w:w="0" w:type="dxa"/>
          <w:left w:w="108" w:type="dxa"/>
          <w:bottom w:w="0" w:type="dxa"/>
          <w:right w:w="108" w:type="dxa"/>
        </w:tblCellMar>
      </w:tblPr>
      <w:tblGrid>
        <w:gridCol w:w="534"/>
        <w:gridCol w:w="1134"/>
        <w:gridCol w:w="2409"/>
        <w:gridCol w:w="1276"/>
        <w:gridCol w:w="567"/>
        <w:gridCol w:w="709"/>
        <w:gridCol w:w="897"/>
        <w:gridCol w:w="1356"/>
      </w:tblGrid>
      <w:tr>
        <w:tblPrEx>
          <w:tblCellMar>
            <w:top w:w="0" w:type="dxa"/>
            <w:left w:w="108" w:type="dxa"/>
            <w:bottom w:w="0" w:type="dxa"/>
            <w:right w:w="108" w:type="dxa"/>
          </w:tblCellMar>
        </w:tblPrEx>
        <w:trPr>
          <w:trHeight w:val="480" w:hRule="atLeast"/>
        </w:trPr>
        <w:tc>
          <w:tcPr>
            <w:tcW w:w="8882"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宋体" w:hAnsi="宋体" w:cs="Tahoma"/>
                <w:b/>
                <w:kern w:val="0"/>
                <w:sz w:val="36"/>
                <w:szCs w:val="36"/>
              </w:rPr>
            </w:pPr>
            <w:r>
              <w:rPr>
                <w:rFonts w:hint="eastAsia" w:ascii="宋体" w:hAnsi="宋体" w:cs="Tahoma"/>
                <w:b/>
                <w:kern w:val="0"/>
                <w:sz w:val="36"/>
                <w:szCs w:val="36"/>
              </w:rPr>
              <w:t>2023至2024年度公铁运输公司轮胎及附件框架协议</w:t>
            </w:r>
          </w:p>
          <w:p>
            <w:pPr>
              <w:widowControl/>
              <w:spacing w:line="0" w:lineRule="atLeast"/>
              <w:jc w:val="center"/>
              <w:textAlignment w:val="center"/>
              <w:rPr>
                <w:rFonts w:ascii="仿宋_GB2312" w:hAnsi="宋体" w:eastAsia="仿宋_GB2312" w:cs="仿宋_GB2312"/>
                <w:sz w:val="24"/>
                <w:szCs w:val="24"/>
              </w:rPr>
            </w:pPr>
            <w:r>
              <w:rPr>
                <w:rFonts w:hint="eastAsia" w:ascii="宋体" w:hAnsi="宋体" w:cs="Tahoma"/>
                <w:b/>
                <w:kern w:val="0"/>
                <w:sz w:val="36"/>
                <w:szCs w:val="36"/>
              </w:rPr>
              <w:t>采购报价明细</w:t>
            </w:r>
          </w:p>
        </w:tc>
      </w:tr>
      <w:tr>
        <w:tblPrEx>
          <w:tblCellMar>
            <w:top w:w="0" w:type="dxa"/>
            <w:left w:w="108" w:type="dxa"/>
            <w:bottom w:w="0" w:type="dxa"/>
            <w:right w:w="108" w:type="dxa"/>
          </w:tblCellMar>
        </w:tblPrEx>
        <w:trPr>
          <w:trHeight w:val="48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名称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建议品牌</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规格</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ascii="仿宋_GB2312" w:hAnsi="宋体" w:eastAsia="仿宋_GB2312" w:cs="仿宋_GB2312"/>
                <w:kern w:val="0"/>
                <w:sz w:val="24"/>
                <w:szCs w:val="24"/>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ascii="仿宋_GB2312" w:hAnsi="宋体" w:eastAsia="仿宋_GB2312" w:cs="仿宋_GB2312"/>
                <w:sz w:val="24"/>
                <w:szCs w:val="24"/>
              </w:rPr>
              <w:t>年预估用量</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hint="eastAsia" w:ascii="仿宋_GB2312" w:hAnsi="宋体" w:eastAsia="仿宋_GB2312" w:cs="仿宋_GB2312"/>
                <w:sz w:val="24"/>
                <w:szCs w:val="24"/>
              </w:rPr>
              <w:t>含税单价</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4"/>
                <w:szCs w:val="24"/>
              </w:rPr>
            </w:pPr>
            <w:r>
              <w:rPr>
                <w:rFonts w:hint="eastAsia" w:ascii="仿宋_GB2312" w:hAnsi="宋体" w:eastAsia="仿宋_GB2312" w:cs="仿宋_GB2312"/>
                <w:sz w:val="24"/>
                <w:szCs w:val="24"/>
              </w:rPr>
              <w:t>含税总价</w:t>
            </w: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ascii="仿宋_GB2312" w:hAnsi="宋体" w:eastAsia="仿宋_GB2312" w:cs="仿宋_GB2312"/>
                <w:sz w:val="20"/>
              </w:rPr>
              <w:t>佳通</w:t>
            </w:r>
            <w:r>
              <w:rPr>
                <w:rFonts w:hint="eastAsia" w:ascii="仿宋_GB2312" w:hAnsi="宋体" w:eastAsia="仿宋_GB2312" w:cs="仿宋_GB2312"/>
                <w:sz w:val="20"/>
              </w:rPr>
              <w:t>、</w:t>
            </w:r>
            <w:r>
              <w:rPr>
                <w:rFonts w:ascii="仿宋_GB2312" w:hAnsi="宋体" w:eastAsia="仿宋_GB2312" w:cs="仿宋_GB2312"/>
                <w:sz w:val="20"/>
              </w:rPr>
              <w:t>高端</w:t>
            </w:r>
            <w:r>
              <w:rPr>
                <w:rFonts w:hint="eastAsia" w:ascii="仿宋_GB2312" w:hAnsi="宋体" w:eastAsia="仿宋_GB2312" w:cs="仿宋_GB2312"/>
                <w:sz w:val="20"/>
              </w:rPr>
              <w:t>、</w:t>
            </w:r>
            <w:r>
              <w:rPr>
                <w:rFonts w:ascii="仿宋_GB2312" w:hAnsi="宋体" w:eastAsia="仿宋_GB2312" w:cs="仿宋_GB2312"/>
                <w:sz w:val="20"/>
              </w:rPr>
              <w:t>路德金</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12R22.5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1</w:t>
            </w:r>
            <w:r>
              <w:rPr>
                <w:rFonts w:hint="eastAsia" w:ascii="仿宋_GB2312" w:hAnsi="宋体" w:eastAsia="仿宋_GB2312" w:cs="仿宋_GB2312"/>
                <w:kern w:val="0"/>
                <w:sz w:val="20"/>
              </w:rPr>
              <w:t>00</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0"/>
              </w:rPr>
            </w:pPr>
            <w:r>
              <w:rPr>
                <w:rFonts w:hint="eastAsia" w:ascii="仿宋_GB2312" w:hAnsi="宋体" w:eastAsia="仿宋_GB2312" w:cs="仿宋_GB2312"/>
                <w:kern w:val="0"/>
                <w:sz w:val="20"/>
              </w:rPr>
              <w:t>韩泰、鞍轮、三角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ascii="仿宋_GB2312" w:hAnsi="宋体" w:eastAsia="仿宋_GB2312" w:cs="仿宋_GB2312"/>
                <w:kern w:val="0"/>
                <w:sz w:val="20"/>
              </w:rPr>
              <w:t>12R22.5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ascii="仿宋_GB2312" w:hAnsi="宋体" w:eastAsia="仿宋_GB2312" w:cs="仿宋_GB2312"/>
                <w:kern w:val="0"/>
                <w:sz w:val="20"/>
              </w:rPr>
              <w:t>20</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前进</w:t>
            </w:r>
            <w:r>
              <w:rPr>
                <w:rFonts w:hint="eastAsia" w:ascii="仿宋_GB2312" w:hAnsi="宋体" w:eastAsia="仿宋_GB2312" w:cs="仿宋_GB2312"/>
                <w:kern w:val="0"/>
                <w:sz w:val="20"/>
              </w:rPr>
              <w:t>、朝阳、三角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650-10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50</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前进</w:t>
            </w:r>
            <w:r>
              <w:rPr>
                <w:rFonts w:hint="eastAsia" w:ascii="仿宋_GB2312" w:hAnsi="宋体" w:eastAsia="仿宋_GB2312" w:cs="仿宋_GB2312"/>
                <w:kern w:val="0"/>
                <w:sz w:val="20"/>
              </w:rPr>
              <w:t>、朝阳、三角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600-9</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20</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前进</w:t>
            </w:r>
            <w:r>
              <w:rPr>
                <w:rFonts w:hint="eastAsia" w:ascii="仿宋_GB2312" w:hAnsi="宋体" w:eastAsia="仿宋_GB2312" w:cs="仿宋_GB2312"/>
                <w:kern w:val="0"/>
                <w:sz w:val="20"/>
              </w:rPr>
              <w:t>、朝阳、三角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700-12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10</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前进</w:t>
            </w:r>
            <w:r>
              <w:rPr>
                <w:rFonts w:hint="eastAsia" w:ascii="仿宋_GB2312" w:hAnsi="宋体" w:eastAsia="仿宋_GB2312" w:cs="仿宋_GB2312"/>
                <w:kern w:val="0"/>
                <w:sz w:val="20"/>
              </w:rPr>
              <w:t>、朝阳、三角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28*9-15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10</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前进</w:t>
            </w:r>
            <w:r>
              <w:rPr>
                <w:rFonts w:hint="eastAsia" w:ascii="仿宋_GB2312" w:hAnsi="宋体" w:eastAsia="仿宋_GB2312" w:cs="仿宋_GB2312"/>
                <w:kern w:val="0"/>
                <w:sz w:val="20"/>
              </w:rPr>
              <w:t>、朝阳、三角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23.5-25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ascii="仿宋_GB2312" w:hAnsi="宋体" w:eastAsia="仿宋_GB2312" w:cs="仿宋_GB2312"/>
                <w:kern w:val="0"/>
                <w:sz w:val="20"/>
              </w:rPr>
              <w:t>米其林</w:t>
            </w:r>
            <w:r>
              <w:rPr>
                <w:rFonts w:hint="eastAsia" w:ascii="仿宋_GB2312" w:hAnsi="宋体" w:eastAsia="仿宋_GB2312" w:cs="仿宋_GB2312"/>
                <w:kern w:val="0"/>
                <w:sz w:val="20"/>
              </w:rPr>
              <w:t>、韩泰、普利斯通</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225/60R17</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ascii="仿宋_GB2312" w:hAnsi="宋体" w:eastAsia="仿宋_GB2312" w:cs="仿宋_GB2312"/>
                <w:kern w:val="0"/>
                <w:sz w:val="20"/>
              </w:rPr>
              <w:t>米其林</w:t>
            </w:r>
            <w:r>
              <w:rPr>
                <w:rFonts w:hint="eastAsia" w:ascii="仿宋_GB2312" w:hAnsi="宋体" w:eastAsia="仿宋_GB2312" w:cs="仿宋_GB2312"/>
                <w:kern w:val="0"/>
                <w:sz w:val="20"/>
              </w:rPr>
              <w:t>、韩泰、普利斯通</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215/55R17</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bottom"/>
          </w:tcPr>
          <w:p>
            <w:pP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bottom"/>
          </w:tcPr>
          <w:p>
            <w:pP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朝阳、森光、前进</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rPr>
            </w:pPr>
            <w:r>
              <w:rPr>
                <w:rFonts w:ascii="仿宋_GB2312" w:hAnsi="宋体" w:eastAsia="仿宋_GB2312" w:cs="仿宋_GB2312"/>
                <w:kern w:val="0"/>
                <w:sz w:val="20"/>
              </w:rPr>
              <w:t>实心胎650-10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7"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朝阳、森光、前进</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仿宋_GB2312" w:hAnsi="宋体" w:eastAsia="仿宋_GB2312" w:cs="仿宋_GB2312"/>
                <w:sz w:val="20"/>
              </w:rPr>
            </w:pPr>
            <w:r>
              <w:rPr>
                <w:rFonts w:ascii="仿宋_GB2312" w:hAnsi="宋体" w:eastAsia="仿宋_GB2312" w:cs="仿宋_GB2312"/>
                <w:kern w:val="0"/>
                <w:sz w:val="20"/>
              </w:rPr>
              <w:t>实心胎28*9-15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20</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rPr>
            </w:pPr>
            <w:r>
              <w:rPr>
                <w:rFonts w:hint="eastAsia" w:ascii="仿宋_GB2312" w:hAnsi="宋体" w:eastAsia="仿宋_GB2312" w:cs="仿宋_GB2312"/>
                <w:sz w:val="20"/>
              </w:rPr>
              <w:t>前进</w:t>
            </w:r>
            <w:r>
              <w:rPr>
                <w:rFonts w:hint="eastAsia" w:ascii="仿宋_GB2312" w:hAnsi="宋体" w:eastAsia="仿宋_GB2312" w:cs="仿宋_GB2312"/>
                <w:kern w:val="0"/>
                <w:sz w:val="20"/>
              </w:rPr>
              <w:t>、朝阳、三角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300-15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轮胎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20"/>
              </w:rPr>
            </w:pPr>
            <w:r>
              <w:rPr>
                <w:rFonts w:hint="eastAsia" w:ascii="仿宋_GB2312" w:hAnsi="宋体" w:eastAsia="仿宋_GB2312" w:cs="仿宋_GB2312"/>
                <w:sz w:val="20"/>
              </w:rPr>
              <w:t>前进</w:t>
            </w:r>
            <w:r>
              <w:rPr>
                <w:rFonts w:hint="eastAsia" w:ascii="仿宋_GB2312" w:hAnsi="宋体" w:eastAsia="仿宋_GB2312" w:cs="仿宋_GB2312"/>
                <w:kern w:val="0"/>
                <w:sz w:val="20"/>
              </w:rPr>
              <w:t>、朝阳、三角</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825-15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内胎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28*9-15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6</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内胎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650-10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10</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内胎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700-12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内胎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23.5-25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1</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内胎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300-15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1</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19</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钢圈</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650-10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10</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钢圈</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28*9-15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垫带</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28*9-15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4</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垫带</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650-10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20"/>
              </w:rPr>
            </w:pPr>
            <w:r>
              <w:rPr>
                <w:rFonts w:hint="eastAsia" w:ascii="仿宋_GB2312" w:hAnsi="宋体" w:eastAsia="仿宋_GB2312" w:cs="仿宋_GB2312"/>
                <w:kern w:val="0"/>
                <w:sz w:val="20"/>
              </w:rPr>
              <w:t>4</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补胎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p>
        </w:tc>
        <w:tc>
          <w:tcPr>
            <w:tcW w:w="12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0"/>
              </w:rPr>
            </w:pPr>
            <w:r>
              <w:rPr>
                <w:rFonts w:hint="eastAsia" w:ascii="仿宋_GB2312" w:hAnsi="宋体" w:eastAsia="仿宋_GB2312" w:cs="仿宋_GB2312"/>
                <w:sz w:val="20"/>
              </w:rPr>
              <w:t>650-10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50</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补胎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p>
        </w:tc>
        <w:tc>
          <w:tcPr>
            <w:tcW w:w="12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0"/>
              </w:rPr>
            </w:pPr>
            <w:r>
              <w:rPr>
                <w:rFonts w:ascii="仿宋_GB2312" w:hAnsi="宋体" w:eastAsia="仿宋_GB2312" w:cs="仿宋_GB2312"/>
                <w:kern w:val="0"/>
                <w:sz w:val="20"/>
              </w:rPr>
              <w:t>12R22.5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50</w:t>
            </w:r>
          </w:p>
        </w:tc>
        <w:tc>
          <w:tcPr>
            <w:tcW w:w="897"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补胎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p>
        </w:tc>
        <w:tc>
          <w:tcPr>
            <w:tcW w:w="12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0"/>
              </w:rPr>
            </w:pPr>
            <w:r>
              <w:rPr>
                <w:rFonts w:hint="eastAsia" w:ascii="仿宋_GB2312" w:hAnsi="宋体" w:eastAsia="仿宋_GB2312" w:cs="仿宋_GB2312"/>
                <w:sz w:val="20"/>
              </w:rPr>
              <w:t>28*9-15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20</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26</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补胎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p>
        </w:tc>
        <w:tc>
          <w:tcPr>
            <w:tcW w:w="12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0"/>
              </w:rPr>
            </w:pPr>
            <w:r>
              <w:rPr>
                <w:rFonts w:ascii="仿宋_GB2312" w:hAnsi="宋体" w:eastAsia="仿宋_GB2312" w:cs="仿宋_GB2312"/>
                <w:kern w:val="0"/>
                <w:sz w:val="20"/>
              </w:rPr>
              <w:t>23.5-25</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补胎</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p>
        </w:tc>
        <w:tc>
          <w:tcPr>
            <w:tcW w:w="12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0"/>
              </w:rPr>
            </w:pPr>
            <w:r>
              <w:rPr>
                <w:rFonts w:hint="eastAsia" w:ascii="仿宋_GB2312" w:hAnsi="宋体" w:eastAsia="仿宋_GB2312" w:cs="仿宋_GB2312"/>
                <w:sz w:val="20"/>
              </w:rPr>
              <w:t>小车</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285"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28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轮网螺丝</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p>
        </w:tc>
        <w:tc>
          <w:tcPr>
            <w:tcW w:w="127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0"/>
              </w:rPr>
            </w:pPr>
            <w:r>
              <w:rPr>
                <w:rFonts w:hint="eastAsia" w:ascii="仿宋_GB2312" w:hAnsi="宋体" w:eastAsia="仿宋_GB2312" w:cs="仿宋_GB2312"/>
                <w:sz w:val="20"/>
              </w:rPr>
              <w:t>3T叉车</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只</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rPr>
            </w:pPr>
            <w:r>
              <w:rPr>
                <w:rFonts w:hint="eastAsia" w:ascii="仿宋_GB2312" w:hAnsi="宋体" w:eastAsia="仿宋_GB2312" w:cs="仿宋_GB2312"/>
                <w:sz w:val="20"/>
              </w:rPr>
              <w:t>50</w:t>
            </w: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4"/>
                <w:szCs w:val="24"/>
              </w:rPr>
            </w:pPr>
          </w:p>
        </w:tc>
      </w:tr>
      <w:tr>
        <w:tblPrEx>
          <w:tblCellMar>
            <w:top w:w="0" w:type="dxa"/>
            <w:left w:w="108" w:type="dxa"/>
            <w:bottom w:w="0" w:type="dxa"/>
            <w:right w:w="108" w:type="dxa"/>
          </w:tblCellMar>
        </w:tblPrEx>
        <w:trPr>
          <w:trHeight w:val="550" w:hRule="atLeast"/>
        </w:trPr>
        <w:tc>
          <w:tcPr>
            <w:tcW w:w="592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szCs w:val="24"/>
              </w:rPr>
            </w:pPr>
            <w:r>
              <w:rPr>
                <w:rFonts w:hint="eastAsia" w:ascii="宋体" w:hAnsi="宋体" w:cs="Tahoma"/>
                <w:kern w:val="0"/>
                <w:sz w:val="22"/>
                <w:szCs w:val="22"/>
              </w:rPr>
              <w:t>以上合计总价（大写）：</w:t>
            </w:r>
          </w:p>
        </w:tc>
        <w:tc>
          <w:tcPr>
            <w:tcW w:w="2962" w:type="dxa"/>
            <w:gridSpan w:val="3"/>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Tahoma"/>
                <w:kern w:val="0"/>
                <w:sz w:val="24"/>
                <w:szCs w:val="24"/>
              </w:rPr>
            </w:pPr>
            <w:r>
              <w:rPr>
                <w:rFonts w:hint="eastAsia" w:ascii="宋体" w:hAnsi="宋体" w:cs="Tahoma"/>
                <w:kern w:val="0"/>
                <w:sz w:val="24"/>
                <w:szCs w:val="24"/>
              </w:rPr>
              <w:t xml:space="preserve">小写：元  </w:t>
            </w:r>
          </w:p>
        </w:tc>
      </w:tr>
      <w:tr>
        <w:tblPrEx>
          <w:tblCellMar>
            <w:top w:w="0" w:type="dxa"/>
            <w:left w:w="108" w:type="dxa"/>
            <w:bottom w:w="0" w:type="dxa"/>
            <w:right w:w="108" w:type="dxa"/>
          </w:tblCellMar>
        </w:tblPrEx>
        <w:trPr>
          <w:trHeight w:val="549" w:hRule="atLeast"/>
        </w:trPr>
        <w:tc>
          <w:tcPr>
            <w:tcW w:w="592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sz w:val="24"/>
                <w:szCs w:val="24"/>
              </w:rPr>
            </w:pPr>
            <w:r>
              <w:rPr>
                <w:rFonts w:hint="eastAsia" w:ascii="宋体" w:hAnsi="宋体" w:cs="Tahoma"/>
                <w:kern w:val="0"/>
                <w:sz w:val="22"/>
                <w:szCs w:val="22"/>
              </w:rPr>
              <w:t>交货期：合同签订生效通知送货后**小时内</w:t>
            </w:r>
          </w:p>
        </w:tc>
        <w:tc>
          <w:tcPr>
            <w:tcW w:w="2962"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宋体" w:eastAsia="仿宋_GB2312" w:cs="仿宋_GB2312"/>
                <w:sz w:val="24"/>
                <w:szCs w:val="24"/>
              </w:rPr>
            </w:pPr>
            <w:r>
              <w:rPr>
                <w:rFonts w:hint="eastAsia" w:ascii="宋体" w:hAnsi="宋体" w:cs="Tahoma"/>
                <w:kern w:val="0"/>
                <w:sz w:val="24"/>
                <w:szCs w:val="24"/>
              </w:rPr>
              <w:t>税率：13%</w:t>
            </w:r>
          </w:p>
        </w:tc>
      </w:tr>
    </w:tbl>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6" o:title=""/>
            <o:lock v:ext="edit" aspectratio="t"/>
            <w10:wrap type="square"/>
          </v:shape>
        </w:pict>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卖方：***公司</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买方：镇江海纳川公铁运输有限公司</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1"/>
        <w:tblpPr w:leftFromText="180" w:rightFromText="180" w:vertAnchor="text" w:horzAnchor="margin" w:tblpX="-245" w:tblpY="2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418"/>
        <w:gridCol w:w="2268"/>
        <w:gridCol w:w="708"/>
        <w:gridCol w:w="993"/>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vAlign w:val="center"/>
          </w:tcPr>
          <w:p>
            <w:pPr>
              <w:widowControl/>
              <w:spacing w:line="0" w:lineRule="atLeast"/>
              <w:jc w:val="center"/>
              <w:textAlignment w:val="center"/>
              <w:rPr>
                <w:rFonts w:ascii="宋体" w:hAnsi="宋体" w:cs="Tahoma"/>
                <w:kern w:val="0"/>
                <w:sz w:val="22"/>
                <w:szCs w:val="22"/>
              </w:rPr>
            </w:pPr>
            <w:r>
              <w:rPr>
                <w:rFonts w:ascii="宋体" w:hAnsi="宋体" w:cs="Tahoma"/>
                <w:kern w:val="0"/>
                <w:sz w:val="22"/>
                <w:szCs w:val="22"/>
              </w:rPr>
              <w:t>序号</w:t>
            </w:r>
          </w:p>
        </w:tc>
        <w:tc>
          <w:tcPr>
            <w:tcW w:w="1276" w:type="dxa"/>
            <w:vAlign w:val="center"/>
          </w:tcPr>
          <w:p>
            <w:pPr>
              <w:widowControl/>
              <w:spacing w:line="0" w:lineRule="atLeast"/>
              <w:jc w:val="center"/>
              <w:textAlignment w:val="center"/>
              <w:rPr>
                <w:rFonts w:ascii="宋体" w:hAnsi="宋体" w:cs="Tahoma"/>
                <w:kern w:val="0"/>
                <w:sz w:val="22"/>
                <w:szCs w:val="22"/>
              </w:rPr>
            </w:pPr>
            <w:r>
              <w:rPr>
                <w:rFonts w:ascii="宋体" w:hAnsi="宋体" w:cs="Tahoma"/>
                <w:kern w:val="0"/>
                <w:sz w:val="22"/>
                <w:szCs w:val="22"/>
              </w:rPr>
              <w:t>名称</w:t>
            </w:r>
          </w:p>
        </w:tc>
        <w:tc>
          <w:tcPr>
            <w:tcW w:w="1418" w:type="dxa"/>
            <w:vAlign w:val="center"/>
          </w:tcPr>
          <w:p>
            <w:pPr>
              <w:widowControl/>
              <w:spacing w:line="0" w:lineRule="atLeast"/>
              <w:jc w:val="center"/>
              <w:textAlignment w:val="center"/>
              <w:rPr>
                <w:rFonts w:ascii="宋体" w:hAnsi="宋体" w:cs="Tahoma"/>
                <w:kern w:val="0"/>
                <w:sz w:val="22"/>
                <w:szCs w:val="22"/>
              </w:rPr>
            </w:pPr>
            <w:r>
              <w:rPr>
                <w:rFonts w:hint="eastAsia" w:ascii="宋体" w:hAnsi="宋体" w:cs="Tahoma"/>
                <w:kern w:val="0"/>
                <w:sz w:val="22"/>
                <w:szCs w:val="22"/>
              </w:rPr>
              <w:t>建议品牌</w:t>
            </w:r>
          </w:p>
        </w:tc>
        <w:tc>
          <w:tcPr>
            <w:tcW w:w="2268" w:type="dxa"/>
            <w:vAlign w:val="center"/>
          </w:tcPr>
          <w:p>
            <w:pPr>
              <w:widowControl/>
              <w:spacing w:line="0" w:lineRule="atLeast"/>
              <w:jc w:val="center"/>
              <w:textAlignment w:val="center"/>
              <w:rPr>
                <w:rFonts w:ascii="宋体" w:hAnsi="宋体" w:cs="Tahoma"/>
                <w:kern w:val="0"/>
                <w:sz w:val="22"/>
                <w:szCs w:val="22"/>
              </w:rPr>
            </w:pPr>
            <w:r>
              <w:rPr>
                <w:rFonts w:hint="eastAsia" w:ascii="宋体" w:hAnsi="宋体" w:cs="Tahoma"/>
                <w:kern w:val="0"/>
                <w:sz w:val="22"/>
                <w:szCs w:val="22"/>
              </w:rPr>
              <w:t>规格</w:t>
            </w:r>
          </w:p>
        </w:tc>
        <w:tc>
          <w:tcPr>
            <w:tcW w:w="708" w:type="dxa"/>
            <w:vAlign w:val="center"/>
          </w:tcPr>
          <w:p>
            <w:pPr>
              <w:widowControl/>
              <w:spacing w:line="0" w:lineRule="atLeast"/>
              <w:jc w:val="center"/>
              <w:textAlignment w:val="center"/>
              <w:rPr>
                <w:rFonts w:ascii="宋体" w:hAnsi="宋体" w:cs="Tahoma"/>
                <w:kern w:val="0"/>
                <w:sz w:val="22"/>
                <w:szCs w:val="22"/>
              </w:rPr>
            </w:pPr>
            <w:r>
              <w:rPr>
                <w:rFonts w:ascii="宋体" w:hAnsi="宋体" w:cs="Tahoma"/>
                <w:kern w:val="0"/>
                <w:sz w:val="22"/>
                <w:szCs w:val="22"/>
              </w:rPr>
              <w:t>单位</w:t>
            </w:r>
          </w:p>
        </w:tc>
        <w:tc>
          <w:tcPr>
            <w:tcW w:w="993" w:type="dxa"/>
            <w:vAlign w:val="center"/>
          </w:tcPr>
          <w:p>
            <w:pPr>
              <w:widowControl/>
              <w:spacing w:line="0" w:lineRule="atLeast"/>
              <w:jc w:val="center"/>
              <w:textAlignment w:val="center"/>
              <w:rPr>
                <w:rFonts w:ascii="宋体" w:hAnsi="宋体" w:cs="Tahoma"/>
                <w:kern w:val="0"/>
                <w:sz w:val="22"/>
                <w:szCs w:val="22"/>
              </w:rPr>
            </w:pPr>
            <w:r>
              <w:rPr>
                <w:rFonts w:ascii="宋体" w:hAnsi="宋体" w:cs="Tahoma"/>
                <w:kern w:val="0"/>
                <w:sz w:val="22"/>
                <w:szCs w:val="22"/>
              </w:rPr>
              <w:t>年预估用量</w:t>
            </w:r>
          </w:p>
        </w:tc>
        <w:tc>
          <w:tcPr>
            <w:tcW w:w="992" w:type="dxa"/>
            <w:vAlign w:val="center"/>
          </w:tcPr>
          <w:p>
            <w:pPr>
              <w:widowControl/>
              <w:spacing w:line="0" w:lineRule="atLeast"/>
              <w:jc w:val="center"/>
              <w:textAlignment w:val="center"/>
              <w:rPr>
                <w:rFonts w:ascii="宋体" w:hAnsi="宋体" w:cs="Tahoma"/>
                <w:kern w:val="0"/>
                <w:sz w:val="22"/>
                <w:szCs w:val="22"/>
              </w:rPr>
            </w:pPr>
            <w:r>
              <w:rPr>
                <w:rFonts w:hint="eastAsia" w:ascii="宋体" w:hAnsi="宋体" w:cs="Tahoma"/>
                <w:kern w:val="0"/>
                <w:sz w:val="22"/>
                <w:szCs w:val="22"/>
              </w:rPr>
              <w:t>含税</w:t>
            </w:r>
          </w:p>
          <w:p>
            <w:pPr>
              <w:widowControl/>
              <w:spacing w:line="0" w:lineRule="atLeast"/>
              <w:jc w:val="center"/>
              <w:textAlignment w:val="center"/>
              <w:rPr>
                <w:rFonts w:ascii="宋体" w:hAnsi="宋体" w:cs="Tahoma"/>
                <w:kern w:val="0"/>
                <w:sz w:val="22"/>
                <w:szCs w:val="22"/>
              </w:rPr>
            </w:pPr>
            <w:r>
              <w:rPr>
                <w:rFonts w:hint="eastAsia" w:ascii="宋体" w:hAnsi="宋体" w:cs="Tahoma"/>
                <w:kern w:val="0"/>
                <w:sz w:val="22"/>
                <w:szCs w:val="22"/>
              </w:rPr>
              <w:t>单价</w:t>
            </w:r>
          </w:p>
        </w:tc>
        <w:tc>
          <w:tcPr>
            <w:tcW w:w="992" w:type="dxa"/>
            <w:vAlign w:val="center"/>
          </w:tcPr>
          <w:p>
            <w:pPr>
              <w:widowControl/>
              <w:spacing w:line="0" w:lineRule="atLeast"/>
              <w:jc w:val="center"/>
              <w:textAlignment w:val="center"/>
              <w:rPr>
                <w:rFonts w:ascii="宋体" w:hAnsi="宋体" w:cs="Tahoma"/>
                <w:kern w:val="0"/>
                <w:sz w:val="22"/>
                <w:szCs w:val="22"/>
              </w:rPr>
            </w:pPr>
            <w:r>
              <w:rPr>
                <w:rFonts w:hint="eastAsia" w:ascii="宋体" w:hAnsi="宋体" w:cs="Tahoma"/>
                <w:kern w:val="0"/>
                <w:sz w:val="22"/>
                <w:szCs w:val="22"/>
              </w:rPr>
              <w:t>含税</w:t>
            </w:r>
          </w:p>
          <w:p>
            <w:pPr>
              <w:widowControl/>
              <w:spacing w:line="0" w:lineRule="atLeast"/>
              <w:jc w:val="center"/>
              <w:textAlignment w:val="center"/>
              <w:rPr>
                <w:rFonts w:ascii="宋体" w:hAnsi="宋体" w:cs="Tahoma"/>
                <w:kern w:val="0"/>
                <w:sz w:val="22"/>
                <w:szCs w:val="22"/>
              </w:rPr>
            </w:pPr>
            <w:r>
              <w:rPr>
                <w:rFonts w:hint="eastAsia" w:ascii="宋体" w:hAnsi="宋体" w:cs="Tahoma"/>
                <w:kern w:val="0"/>
                <w:sz w:val="22"/>
                <w:szCs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5" w:type="dxa"/>
            <w:vAlign w:val="center"/>
          </w:tcPr>
          <w:p>
            <w:pPr>
              <w:spacing w:line="360" w:lineRule="auto"/>
              <w:jc w:val="center"/>
              <w:rPr>
                <w:rFonts w:ascii="宋体" w:hAnsi="宋体" w:cs="Tahoma"/>
                <w:kern w:val="0"/>
                <w:sz w:val="22"/>
                <w:szCs w:val="22"/>
              </w:rPr>
            </w:pPr>
          </w:p>
        </w:tc>
        <w:tc>
          <w:tcPr>
            <w:tcW w:w="1276" w:type="dxa"/>
            <w:vAlign w:val="center"/>
          </w:tcPr>
          <w:p>
            <w:pPr>
              <w:spacing w:line="0" w:lineRule="atLeast"/>
              <w:jc w:val="left"/>
              <w:rPr>
                <w:rFonts w:ascii="宋体" w:hAnsi="宋体" w:cs="Tahoma"/>
                <w:kern w:val="0"/>
                <w:sz w:val="22"/>
                <w:szCs w:val="22"/>
              </w:rPr>
            </w:pPr>
          </w:p>
        </w:tc>
        <w:tc>
          <w:tcPr>
            <w:tcW w:w="1418" w:type="dxa"/>
            <w:vAlign w:val="center"/>
          </w:tcPr>
          <w:p>
            <w:pPr>
              <w:spacing w:line="0" w:lineRule="atLeast"/>
              <w:jc w:val="left"/>
              <w:rPr>
                <w:rFonts w:ascii="宋体" w:hAnsi="宋体" w:cs="Tahoma"/>
                <w:kern w:val="0"/>
                <w:sz w:val="22"/>
                <w:szCs w:val="22"/>
              </w:rPr>
            </w:pPr>
          </w:p>
        </w:tc>
        <w:tc>
          <w:tcPr>
            <w:tcW w:w="2268" w:type="dxa"/>
            <w:vAlign w:val="center"/>
          </w:tcPr>
          <w:p>
            <w:pPr>
              <w:spacing w:line="0" w:lineRule="atLeast"/>
              <w:ind w:left="550" w:hanging="550" w:hangingChars="250"/>
              <w:jc w:val="left"/>
              <w:rPr>
                <w:rFonts w:ascii="宋体" w:hAnsi="宋体" w:cs="Tahoma"/>
                <w:kern w:val="0"/>
                <w:sz w:val="22"/>
                <w:szCs w:val="22"/>
              </w:rPr>
            </w:pPr>
          </w:p>
        </w:tc>
        <w:tc>
          <w:tcPr>
            <w:tcW w:w="708" w:type="dxa"/>
            <w:vAlign w:val="center"/>
          </w:tcPr>
          <w:p>
            <w:pPr>
              <w:spacing w:line="360" w:lineRule="auto"/>
              <w:jc w:val="center"/>
              <w:rPr>
                <w:rFonts w:ascii="宋体" w:hAnsi="宋体" w:cs="Tahoma"/>
                <w:kern w:val="0"/>
                <w:sz w:val="22"/>
                <w:szCs w:val="22"/>
              </w:rPr>
            </w:pPr>
          </w:p>
        </w:tc>
        <w:tc>
          <w:tcPr>
            <w:tcW w:w="993" w:type="dxa"/>
            <w:vAlign w:val="center"/>
          </w:tcPr>
          <w:p>
            <w:pPr>
              <w:spacing w:line="360" w:lineRule="auto"/>
              <w:jc w:val="center"/>
              <w:rPr>
                <w:rFonts w:ascii="宋体" w:hAnsi="宋体" w:cs="Tahoma"/>
                <w:kern w:val="0"/>
                <w:sz w:val="22"/>
                <w:szCs w:val="22"/>
              </w:rPr>
            </w:pPr>
          </w:p>
        </w:tc>
        <w:tc>
          <w:tcPr>
            <w:tcW w:w="992" w:type="dxa"/>
            <w:vAlign w:val="center"/>
          </w:tcPr>
          <w:p>
            <w:pPr>
              <w:widowControl/>
              <w:jc w:val="center"/>
              <w:rPr>
                <w:rFonts w:ascii="宋体" w:hAnsi="宋体" w:cs="Tahoma"/>
                <w:kern w:val="0"/>
                <w:sz w:val="22"/>
                <w:szCs w:val="22"/>
              </w:rPr>
            </w:pPr>
          </w:p>
        </w:tc>
        <w:tc>
          <w:tcPr>
            <w:tcW w:w="992" w:type="dxa"/>
            <w:vAlign w:val="center"/>
          </w:tcPr>
          <w:p>
            <w:pPr>
              <w:widowControl/>
              <w:jc w:val="center"/>
              <w:rPr>
                <w:rFonts w:ascii="宋体" w:hAnsi="宋体" w:cs="Tahom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637" w:type="dxa"/>
            <w:gridSpan w:val="4"/>
            <w:vAlign w:val="center"/>
          </w:tcPr>
          <w:p>
            <w:pPr>
              <w:widowControl/>
              <w:jc w:val="left"/>
              <w:rPr>
                <w:rFonts w:ascii="宋体" w:hAnsi="宋体" w:cs="Tahoma"/>
                <w:kern w:val="0"/>
                <w:sz w:val="22"/>
                <w:szCs w:val="22"/>
              </w:rPr>
            </w:pPr>
            <w:r>
              <w:rPr>
                <w:rFonts w:hint="eastAsia" w:ascii="宋体" w:hAnsi="宋体" w:cs="Tahoma"/>
                <w:kern w:val="0"/>
                <w:sz w:val="22"/>
                <w:szCs w:val="22"/>
              </w:rPr>
              <w:t>以上合计总价（大写）：</w:t>
            </w:r>
          </w:p>
        </w:tc>
        <w:tc>
          <w:tcPr>
            <w:tcW w:w="3685" w:type="dxa"/>
            <w:gridSpan w:val="4"/>
            <w:vAlign w:val="center"/>
          </w:tcPr>
          <w:p>
            <w:pPr>
              <w:widowControl/>
              <w:jc w:val="left"/>
              <w:rPr>
                <w:rFonts w:ascii="宋体" w:hAnsi="宋体" w:cs="Tahoma"/>
                <w:kern w:val="0"/>
                <w:sz w:val="22"/>
                <w:szCs w:val="22"/>
              </w:rPr>
            </w:pPr>
            <w:r>
              <w:rPr>
                <w:rFonts w:hint="eastAsia" w:ascii="宋体" w:hAnsi="宋体" w:cs="Tahoma"/>
                <w:kern w:val="0"/>
                <w:sz w:val="22"/>
                <w:szCs w:val="22"/>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637" w:type="dxa"/>
            <w:gridSpan w:val="4"/>
            <w:vAlign w:val="center"/>
          </w:tcPr>
          <w:p>
            <w:pPr>
              <w:widowControl/>
              <w:jc w:val="left"/>
              <w:rPr>
                <w:rFonts w:ascii="宋体" w:hAnsi="宋体" w:cs="Tahoma"/>
                <w:kern w:val="0"/>
                <w:sz w:val="22"/>
                <w:szCs w:val="22"/>
              </w:rPr>
            </w:pPr>
            <w:r>
              <w:rPr>
                <w:rFonts w:hint="eastAsia" w:ascii="宋体" w:hAnsi="宋体" w:cs="Tahoma"/>
                <w:kern w:val="0"/>
                <w:sz w:val="22"/>
                <w:szCs w:val="22"/>
              </w:rPr>
              <w:t>到货期：合同签订生效通知送货后**小时内</w:t>
            </w:r>
          </w:p>
        </w:tc>
        <w:tc>
          <w:tcPr>
            <w:tcW w:w="3685" w:type="dxa"/>
            <w:gridSpan w:val="4"/>
            <w:vAlign w:val="center"/>
          </w:tcPr>
          <w:p>
            <w:pPr>
              <w:widowControl/>
              <w:jc w:val="left"/>
              <w:rPr>
                <w:rFonts w:ascii="宋体" w:hAnsi="宋体" w:cs="Tahoma"/>
                <w:kern w:val="0"/>
                <w:sz w:val="22"/>
                <w:szCs w:val="22"/>
              </w:rPr>
            </w:pPr>
            <w:r>
              <w:rPr>
                <w:rFonts w:hint="eastAsia" w:ascii="宋体" w:hAnsi="宋体" w:cs="Tahoma"/>
                <w:kern w:val="0"/>
                <w:sz w:val="22"/>
                <w:szCs w:val="22"/>
              </w:rPr>
              <w:t>税率： %</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ind w:left="1430" w:leftChars="300" w:hanging="800" w:hanging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bCs/>
          <w:kern w:val="1"/>
          <w:sz w:val="32"/>
          <w:szCs w:val="32"/>
        </w:rPr>
        <w:t>甲方</w:t>
      </w:r>
      <w:r>
        <w:rPr>
          <w:rFonts w:hint="eastAsia" w:ascii="方正仿宋简体" w:hAnsi="方正仿宋简体" w:eastAsia="方正仿宋简体" w:cs="方正仿宋简体"/>
          <w:sz w:val="32"/>
          <w:szCs w:val="32"/>
        </w:rPr>
        <w:t>同意按</w:t>
      </w: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乙方市场调研的最低价予以供货。有效期：2023年9月1日至2024年12月31日。</w:t>
      </w:r>
    </w:p>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679"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甲方（盖章）：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2023 年 月 日</w:t>
            </w:r>
          </w:p>
        </w:tc>
        <w:tc>
          <w:tcPr>
            <w:tcW w:w="496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乙方（盖章）：镇江海纳川公铁运输有限公司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开户行：交通银行镇江分行</w:t>
            </w:r>
          </w:p>
          <w:p>
            <w:pPr>
              <w:spacing w:line="0" w:lineRule="atLeast"/>
              <w:rPr>
                <w:rFonts w:ascii="仿宋_GB2312" w:hAnsi="宋体" w:eastAsia="仿宋_GB2312"/>
                <w:sz w:val="28"/>
                <w:szCs w:val="28"/>
              </w:rPr>
            </w:pPr>
            <w:r>
              <w:rPr>
                <w:rFonts w:hint="eastAsia" w:ascii="仿宋_GB2312" w:hAnsi="宋体" w:eastAsia="仿宋_GB2312"/>
                <w:sz w:val="28"/>
                <w:szCs w:val="28"/>
              </w:rPr>
              <w:t>账号： 381006700011000185622</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邮政编码：212000</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0F1D98"/>
    <w:rsid w:val="001126FD"/>
    <w:rsid w:val="00113915"/>
    <w:rsid w:val="00115EEC"/>
    <w:rsid w:val="001260B7"/>
    <w:rsid w:val="0014088B"/>
    <w:rsid w:val="00145BC9"/>
    <w:rsid w:val="00151C5B"/>
    <w:rsid w:val="00160290"/>
    <w:rsid w:val="00166793"/>
    <w:rsid w:val="0018234A"/>
    <w:rsid w:val="001915A1"/>
    <w:rsid w:val="00193418"/>
    <w:rsid w:val="0019402B"/>
    <w:rsid w:val="00194A83"/>
    <w:rsid w:val="00196EA5"/>
    <w:rsid w:val="001A7FE6"/>
    <w:rsid w:val="001C3F61"/>
    <w:rsid w:val="001D381A"/>
    <w:rsid w:val="001F16BE"/>
    <w:rsid w:val="00210C67"/>
    <w:rsid w:val="002133E5"/>
    <w:rsid w:val="0024696A"/>
    <w:rsid w:val="002A7DCC"/>
    <w:rsid w:val="002B3E65"/>
    <w:rsid w:val="002E4D47"/>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07DC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9690D"/>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0951"/>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0895"/>
    <w:rsid w:val="00C743A3"/>
    <w:rsid w:val="00C92F94"/>
    <w:rsid w:val="00C97E7F"/>
    <w:rsid w:val="00CB0B61"/>
    <w:rsid w:val="00CE0CB9"/>
    <w:rsid w:val="00CE4066"/>
    <w:rsid w:val="00CF2961"/>
    <w:rsid w:val="00D24639"/>
    <w:rsid w:val="00D263A6"/>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05745"/>
    <w:rsid w:val="00F16E4B"/>
    <w:rsid w:val="00F32DB5"/>
    <w:rsid w:val="00F33B17"/>
    <w:rsid w:val="00F45B42"/>
    <w:rsid w:val="00F75185"/>
    <w:rsid w:val="00F82699"/>
    <w:rsid w:val="00FA1409"/>
    <w:rsid w:val="00FA2A6F"/>
    <w:rsid w:val="00FB0628"/>
    <w:rsid w:val="00FB0FA7"/>
    <w:rsid w:val="00FF1217"/>
    <w:rsid w:val="00FF61CA"/>
    <w:rsid w:val="09E67744"/>
    <w:rsid w:val="0CCD460E"/>
    <w:rsid w:val="1444244B"/>
    <w:rsid w:val="14EA645D"/>
    <w:rsid w:val="19181A3A"/>
    <w:rsid w:val="225D796E"/>
    <w:rsid w:val="229941DF"/>
    <w:rsid w:val="24EC6623"/>
    <w:rsid w:val="2BBD3669"/>
    <w:rsid w:val="2E16582B"/>
    <w:rsid w:val="2E4116FA"/>
    <w:rsid w:val="31262BAF"/>
    <w:rsid w:val="330F093A"/>
    <w:rsid w:val="345E4273"/>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C641897"/>
    <w:rsid w:val="4DC0511E"/>
    <w:rsid w:val="4E7C39E4"/>
    <w:rsid w:val="4F775726"/>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8"/>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7"/>
    <w:qFormat/>
    <w:uiPriority w:val="0"/>
    <w:pPr>
      <w:jc w:val="left"/>
    </w:pPr>
    <w:rPr>
      <w:rFonts w:ascii="Calibri" w:hAnsi="Calibri"/>
    </w:rPr>
  </w:style>
  <w:style w:type="paragraph" w:styleId="4">
    <w:name w:val="Body Text"/>
    <w:basedOn w:val="1"/>
    <w:next w:val="5"/>
    <w:link w:val="96"/>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19">
    <w:name w:val="font6"/>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4">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6">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7">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8">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9">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0">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1">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2">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4">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6">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98"/>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49">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0">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1">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2">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3">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4">
    <w:name w:val="xl103"/>
    <w:basedOn w:val="1"/>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5">
    <w:name w:val="xl104"/>
    <w:basedOn w:val="1"/>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6">
    <w:name w:val="xl105"/>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57">
    <w:name w:val="xl106"/>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58">
    <w:name w:val="xl107"/>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59">
    <w:name w:val="xl108"/>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9"/>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1">
    <w:name w:val="xl11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2">
    <w:name w:val="xl111"/>
    <w:basedOn w:val="1"/>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3">
    <w:name w:val="xl112"/>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4">
    <w:name w:val="xl113"/>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5">
    <w:name w:val="xl114"/>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6">
    <w:name w:val="xl115"/>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7">
    <w:name w:val="xl116"/>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69">
    <w:name w:val="xl11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0">
    <w:name w:val="xl119"/>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1">
    <w:name w:val="xl120"/>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2">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3">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6">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7">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8">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9">
    <w:name w:val="xl128"/>
    <w:basedOn w:val="1"/>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0">
    <w:name w:val="xl129"/>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1">
    <w:name w:val="xl130"/>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2">
    <w:name w:val="xl131"/>
    <w:basedOn w:val="1"/>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3">
    <w:name w:val="xl132"/>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4">
    <w:name w:val="xl133"/>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5">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6">
    <w:name w:val="xl135"/>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8">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9">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0">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1">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
    <w:name w:val="xl14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3">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4">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5">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6">
    <w:name w:val="正文文本 Char"/>
    <w:basedOn w:val="12"/>
    <w:link w:val="4"/>
    <w:qFormat/>
    <w:uiPriority w:val="99"/>
    <w:rPr>
      <w:rFonts w:ascii="Times New Roman" w:hAnsi="Times New Roman" w:cs="Times New Roman"/>
      <w:kern w:val="2"/>
      <w:sz w:val="21"/>
    </w:rPr>
  </w:style>
  <w:style w:type="character" w:customStyle="1" w:styleId="97">
    <w:name w:val="批注文字 Char"/>
    <w:basedOn w:val="12"/>
    <w:link w:val="3"/>
    <w:qFormat/>
    <w:uiPriority w:val="0"/>
    <w:rPr>
      <w:rFonts w:cs="Times New Roman"/>
      <w:kern w:val="2"/>
      <w:sz w:val="21"/>
    </w:rPr>
  </w:style>
  <w:style w:type="character" w:customStyle="1" w:styleId="98">
    <w:name w:val="标题 1 Char"/>
    <w:basedOn w:val="12"/>
    <w:link w:val="2"/>
    <w:qFormat/>
    <w:uiPriority w:val="99"/>
    <w:rPr>
      <w:rFonts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94B4C-3093-41A6-817C-C1EDD1E3CE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1386</Words>
  <Characters>7904</Characters>
  <Lines>65</Lines>
  <Paragraphs>18</Paragraphs>
  <TotalTime>1</TotalTime>
  <ScaleCrop>false</ScaleCrop>
  <LinksUpToDate>false</LinksUpToDate>
  <CharactersWithSpaces>9272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2023-09-14T06:20:07Z</cp:lastPrinted>
  <dcterms:modified xsi:type="dcterms:W3CDTF">2023-09-14T06:20:44Z</dcterms:modified>
  <dc:title>镇江海纳川物流产业发展有限责任公司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E617128971214F11A0A6819B265D0306</vt:lpwstr>
  </property>
</Properties>
</file>