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 xml:space="preserve"> 海纳川2023年职业病危害因素检测</w:t>
      </w:r>
      <w:r>
        <w:rPr>
          <w:rFonts w:hint="eastAsia" w:ascii="方正仿宋简体" w:hAnsi="方正仿宋简体" w:eastAsia="方正仿宋简体" w:cs="方正仿宋简体"/>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bCs/>
          <w:sz w:val="32"/>
          <w:szCs w:val="32"/>
          <w:u w:val="single"/>
          <w:lang w:val="zh-CN" w:eastAsia="zh-CN"/>
        </w:rPr>
        <w:t>签订合同</w:t>
      </w:r>
      <w:r>
        <w:rPr>
          <w:rFonts w:hint="eastAsia" w:ascii="方正仿宋简体" w:hAnsi="方正仿宋简体" w:eastAsia="方正仿宋简体" w:cs="方正仿宋简体"/>
          <w:bCs/>
          <w:sz w:val="32"/>
          <w:szCs w:val="32"/>
          <w:u w:val="single"/>
          <w:lang w:val="en-US" w:eastAsia="zh-CN"/>
        </w:rPr>
        <w:t>后</w:t>
      </w:r>
      <w:r>
        <w:rPr>
          <w:rFonts w:hint="eastAsia" w:ascii="方正仿宋简体" w:hAnsi="方正仿宋简体" w:eastAsia="方正仿宋简体" w:cs="方正仿宋简体"/>
          <w:bCs/>
          <w:sz w:val="32"/>
          <w:szCs w:val="32"/>
          <w:u w:val="single"/>
          <w:lang w:val="zh-CN" w:eastAsia="zh-CN"/>
        </w:rPr>
        <w:t>，中标方在</w:t>
      </w:r>
      <w:r>
        <w:rPr>
          <w:rFonts w:hint="eastAsia" w:ascii="方正仿宋简体" w:hAnsi="方正仿宋简体" w:eastAsia="方正仿宋简体" w:cs="方正仿宋简体"/>
          <w:bCs/>
          <w:sz w:val="32"/>
          <w:szCs w:val="32"/>
          <w:u w:val="single"/>
          <w:lang w:val="en-US" w:eastAsia="zh-CN"/>
        </w:rPr>
        <w:t>10月31日</w:t>
      </w:r>
      <w:r>
        <w:rPr>
          <w:rFonts w:hint="eastAsia" w:ascii="方正仿宋简体" w:hAnsi="方正仿宋简体" w:eastAsia="方正仿宋简体" w:cs="方正仿宋简体"/>
          <w:bCs/>
          <w:sz w:val="32"/>
          <w:szCs w:val="32"/>
          <w:u w:val="single"/>
          <w:lang w:val="zh-CN" w:eastAsia="zh-CN"/>
        </w:rPr>
        <w:t>内完成职业病危害因素现场取样工作，</w:t>
      </w:r>
      <w:r>
        <w:rPr>
          <w:rFonts w:hint="eastAsia" w:ascii="方正仿宋简体" w:hAnsi="方正仿宋简体" w:eastAsia="方正仿宋简体" w:cs="方正仿宋简体"/>
          <w:bCs/>
          <w:sz w:val="32"/>
          <w:szCs w:val="32"/>
          <w:u w:val="single"/>
          <w:lang w:val="en-US" w:eastAsia="zh-CN"/>
        </w:rPr>
        <w:t>11月30日前</w:t>
      </w:r>
      <w:r>
        <w:rPr>
          <w:rFonts w:hint="eastAsia" w:ascii="方正仿宋简体" w:hAnsi="方正仿宋简体" w:eastAsia="方正仿宋简体" w:cs="方正仿宋简体"/>
          <w:bCs/>
          <w:sz w:val="32"/>
          <w:szCs w:val="32"/>
          <w:u w:val="single"/>
          <w:lang w:val="zh-CN" w:eastAsia="zh-CN"/>
        </w:rPr>
        <w:t>提交检测报告；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kern w:val="1"/>
          <w:sz w:val="32"/>
          <w:szCs w:val="32"/>
          <w:u w:val="single"/>
        </w:rPr>
        <w:t>镇江海纳川物流产业发展有限责任公司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2023年10月18日上午10点整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2023年10月18日上午10点整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4"/>
        <w:spacing w:line="600" w:lineRule="exact"/>
        <w:ind w:firstLine="640" w:firstLineChars="200"/>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仿宋" w:hAnsi="仿宋" w:eastAsia="仿宋" w:cs="方正仿宋简体"/>
          <w:kern w:val="2"/>
          <w:sz w:val="32"/>
          <w:szCs w:val="32"/>
        </w:rPr>
        <w:t>该项目由海纳川统一招标，中标单位根据报价明细分别与镇江海纳川物流产业发展有限责任公司（简称海纳川）、江苏省物资集团镇江储运开发有限公司（简称储运公司）、镇江海纳川公铁运输有限公司（简称公铁运输）签订合同。</w:t>
      </w:r>
    </w:p>
    <w:p>
      <w:pPr>
        <w:pStyle w:val="3"/>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（八）</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 xml:space="preserve">  （一）标的物内容</w:t>
      </w:r>
      <w:r>
        <w:rPr>
          <w:rFonts w:hint="eastAsia" w:ascii="方正仿宋简体" w:hAnsi="方正仿宋简体" w:eastAsia="方正仿宋简体" w:cs="方正仿宋简体"/>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    1.检测内容：生产过程中涉及的化学因素、物理因素、粉尘等职业病危害因素；</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    2.检测地点：海纳川港口运营公司、</w:t>
      </w:r>
      <w:r>
        <w:rPr>
          <w:rFonts w:hint="eastAsia" w:ascii="仿宋" w:hAnsi="仿宋" w:eastAsia="仿宋" w:cs="方正仿宋简体"/>
          <w:kern w:val="2"/>
          <w:sz w:val="32"/>
          <w:szCs w:val="32"/>
        </w:rPr>
        <w:t>镇江海纳川公铁运输有限公司</w:t>
      </w:r>
      <w:r>
        <w:rPr>
          <w:rFonts w:hint="eastAsia" w:ascii="方正仿宋简体" w:hAnsi="方正仿宋简体" w:eastAsia="方正仿宋简体" w:cs="方正仿宋简体"/>
          <w:kern w:val="2"/>
          <w:sz w:val="32"/>
          <w:szCs w:val="32"/>
          <w:lang w:val="en-US" w:eastAsia="zh-CN" w:bidi="ar-SA"/>
        </w:rPr>
        <w:t>（具体点位见附件2）</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 xml:space="preserve">    （二）工作要求：</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    1.检测标准：①《中华人民共和国职业病防治法》等国家有关法律、法规；②职业卫生评价相关规定，如《工作场所空气中有害物质监测的采样规范》、《工作场所空气有毒物质测定》等；③国家或行业有关标准、规程、规范；</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    2.报价费含现状调查和现场勘察费、现场取样和检测费、报告费发票税金（须注明税率）等所有总包费用。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3.分区域出具10份（二份/区域）检测报告书，区域分别为：仓储区域、危化码头及煤炭码头区域、沥青码头区域、铁路装卸区域、汽修维修区域。</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wordWrap w:val="0"/>
        <w:spacing w:line="360" w:lineRule="auto"/>
        <w:ind w:left="0" w:leftChars="0" w:right="0" w:firstLine="640" w:firstLineChars="200"/>
        <w:jc w:val="left"/>
        <w:outlineLvl w:val="9"/>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lang w:val="en-US" w:eastAsia="zh-CN"/>
        </w:rPr>
        <w:t>1.</w:t>
      </w:r>
      <w:r>
        <w:rPr>
          <w:rFonts w:hint="eastAsia" w:ascii="方正仿宋简体" w:hAnsi="方正仿宋简体" w:eastAsia="方正仿宋简体" w:cs="方正仿宋简体"/>
          <w:sz w:val="32"/>
          <w:szCs w:val="32"/>
          <w:u w:val="none"/>
          <w:lang w:eastAsia="zh-CN"/>
        </w:rPr>
        <w:t>投标人必须具备中华人民共和国境内生产或经营应具备的合法资质；应保证投标文件内容完整、真实、准确，招标方于任何时间发现投标人所提供资料不能满足相关要求的，均有权废弃该投标人的投标文件。</w:t>
      </w:r>
    </w:p>
    <w:p>
      <w:pPr>
        <w:wordWrap w:val="0"/>
        <w:spacing w:line="360" w:lineRule="auto"/>
        <w:ind w:left="0" w:leftChars="0" w:right="0" w:firstLine="640" w:firstLineChars="200"/>
        <w:jc w:val="left"/>
        <w:outlineLvl w:val="9"/>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2.</w:t>
      </w:r>
      <w:r>
        <w:rPr>
          <w:rFonts w:hint="eastAsia" w:ascii="方正仿宋简体" w:hAnsi="方正仿宋简体" w:eastAsia="方正仿宋简体" w:cs="方正仿宋简体"/>
          <w:sz w:val="32"/>
          <w:szCs w:val="32"/>
          <w:u w:val="none"/>
          <w:lang w:eastAsia="zh-CN"/>
        </w:rPr>
        <w:t>投标时需提供投标人资格证明证件：营业执照；职业卫生技术服务机构资质证书（乙级及以上资质）、检验检测机构资质认定证书等；具备相关专业技术职业资格的人员证</w:t>
      </w:r>
      <w:r>
        <w:rPr>
          <w:rFonts w:hint="eastAsia" w:ascii="方正仿宋简体" w:hAnsi="方正仿宋简体" w:eastAsia="方正仿宋简体" w:cs="方正仿宋简体"/>
          <w:sz w:val="32"/>
          <w:szCs w:val="32"/>
          <w:u w:val="none"/>
          <w:lang w:val="en-US" w:eastAsia="zh-CN"/>
        </w:rPr>
        <w:t>书；（以上资格证明证件均可提供复印件，但需加盖公章）</w:t>
      </w:r>
    </w:p>
    <w:p>
      <w:pPr>
        <w:wordWrap w:val="0"/>
        <w:spacing w:line="360" w:lineRule="auto"/>
        <w:ind w:right="0"/>
        <w:jc w:val="left"/>
        <w:outlineLvl w:val="9"/>
        <w:rPr>
          <w:rFonts w:hint="eastAsia" w:ascii="方正仿宋简体" w:hAnsi="方正仿宋简体" w:eastAsia="方正仿宋简体" w:cs="方正仿宋简体"/>
          <w:sz w:val="32"/>
          <w:szCs w:val="32"/>
          <w:u w:val="single"/>
          <w:lang w:val="en-US" w:eastAsia="zh-CN"/>
        </w:rPr>
      </w:pPr>
      <w:r>
        <w:rPr>
          <w:rFonts w:hint="eastAsia" w:ascii="方正仿宋简体" w:hAnsi="方正仿宋简体" w:eastAsia="方正仿宋简体" w:cs="方正仿宋简体"/>
          <w:sz w:val="32"/>
          <w:szCs w:val="32"/>
          <w:u w:val="none"/>
          <w:lang w:val="en-US" w:eastAsia="zh-CN"/>
        </w:rPr>
        <w:t xml:space="preserve">确定中标后，在签订合同前，投标人需提供 </w:t>
      </w:r>
      <w:r>
        <w:rPr>
          <w:rFonts w:hint="eastAsia" w:ascii="方正仿宋简体" w:hAnsi="方正仿宋简体" w:eastAsia="方正仿宋简体" w:cs="方正仿宋简体"/>
          <w:sz w:val="32"/>
          <w:szCs w:val="32"/>
          <w:u w:val="single"/>
          <w:lang w:val="en-US" w:eastAsia="zh-CN"/>
        </w:rPr>
        <w:t>《营业执照》、《税务登记证》、《组织机构代码证》（或三证合一）。</w:t>
      </w:r>
    </w:p>
    <w:p>
      <w:pPr>
        <w:pStyle w:val="3"/>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color w:val="auto"/>
          <w:kern w:val="2"/>
          <w:sz w:val="32"/>
          <w:szCs w:val="32"/>
          <w:u w:val="none"/>
          <w:lang w:val="en-US" w:eastAsia="zh-CN" w:bidi="ar-SA"/>
        </w:rPr>
      </w:pPr>
      <w:r>
        <w:rPr>
          <w:rFonts w:hint="eastAsia" w:ascii="方正仿宋简体" w:hAnsi="方正仿宋简体" w:eastAsia="方正仿宋简体" w:cs="方正仿宋简体"/>
          <w:color w:val="auto"/>
          <w:kern w:val="2"/>
          <w:sz w:val="32"/>
          <w:szCs w:val="32"/>
          <w:u w:val="none"/>
          <w:lang w:val="en-US" w:eastAsia="zh-CN" w:bidi="ar-SA"/>
        </w:rPr>
        <w:t>3.不接受被列入失信被执行人、重大违法案件当事人投标；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24小时</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6.投标人须具有2020-2023年度三个以上相关业绩，并提供类似业绩证明，若在我公司有使用业绩的可不提供。</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right="0" w:rightChars="0" w:firstLine="640" w:firstLineChars="200"/>
        <w:textAlignment w:val="auto"/>
        <w:outlineLvl w:val="9"/>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lang w:val="en-US" w:eastAsia="zh-CN"/>
        </w:rPr>
        <w:t>7.不接受联合体投标。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4"/>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textAlignment w:val="auto"/>
        <w:outlineLvl w:val="9"/>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2"/>
          <w:sz w:val="32"/>
          <w:szCs w:val="32"/>
          <w:lang w:val="en-US" w:eastAsia="zh-CN" w:bidi="ar-SA"/>
        </w:rPr>
        <w:t>招标方取得中标方提供的真实有效的职业病危害因素检测报告后，招标收到中标方出具的增值税专用发</w:t>
      </w:r>
      <w:r>
        <w:rPr>
          <w:rFonts w:hint="eastAsia" w:ascii="方正仿宋简体" w:hAnsi="方正仿宋简体" w:eastAsia="方正仿宋简体" w:cs="方正仿宋简体"/>
          <w:kern w:val="2"/>
          <w:sz w:val="32"/>
          <w:szCs w:val="32"/>
          <w:u w:val="single"/>
          <w:lang w:val="en-US" w:eastAsia="zh-CN" w:bidi="ar-SA"/>
        </w:rPr>
        <w:t xml:space="preserve"> 60 </w:t>
      </w:r>
      <w:r>
        <w:rPr>
          <w:rFonts w:hint="eastAsia" w:ascii="方正仿宋简体" w:hAnsi="方正仿宋简体" w:eastAsia="方正仿宋简体" w:cs="方正仿宋简体"/>
          <w:kern w:val="2"/>
          <w:sz w:val="32"/>
          <w:szCs w:val="32"/>
          <w:lang w:val="en-US" w:eastAsia="zh-CN" w:bidi="ar-SA"/>
        </w:rPr>
        <w:t>日内，一次性</w:t>
      </w:r>
      <w:r>
        <w:rPr>
          <w:rFonts w:hint="eastAsia" w:ascii="方正仿宋简体" w:hAnsi="方正仿宋简体" w:eastAsia="方正仿宋简体" w:cs="方正仿宋简体"/>
          <w:kern w:val="2"/>
          <w:sz w:val="32"/>
          <w:szCs w:val="32"/>
          <w:u w:val="single"/>
          <w:lang w:val="en-US" w:eastAsia="zh-CN" w:bidi="ar-SA"/>
        </w:rPr>
        <w:t xml:space="preserve"> 现汇 </w:t>
      </w:r>
      <w:r>
        <w:rPr>
          <w:rFonts w:hint="eastAsia" w:ascii="方正仿宋简体" w:hAnsi="方正仿宋简体" w:eastAsia="方正仿宋简体" w:cs="方正仿宋简体"/>
          <w:kern w:val="2"/>
          <w:sz w:val="32"/>
          <w:szCs w:val="32"/>
          <w:lang w:val="en-US" w:eastAsia="zh-CN" w:bidi="ar-SA"/>
        </w:rPr>
        <w:t xml:space="preserve">付清检测技术服务费用。   </w:t>
      </w:r>
    </w:p>
    <w:p>
      <w:pPr>
        <w:keepNext w:val="0"/>
        <w:keepLines w:val="0"/>
        <w:pageBreakBefore w:val="0"/>
        <w:widowControl w:val="0"/>
        <w:kinsoku/>
        <w:overflowPunct/>
        <w:topLinePunct w:val="0"/>
        <w:autoSpaceDE/>
        <w:autoSpaceDN/>
        <w:bidi w:val="0"/>
        <w:adjustRightInd w:val="0"/>
        <w:snapToGrid w:val="0"/>
        <w:spacing w:line="600" w:lineRule="exact"/>
        <w:ind w:right="0" w:rightChars="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投标文件</w:t>
      </w:r>
      <w:r>
        <w:rPr>
          <w:rFonts w:hint="eastAsia" w:ascii="方正仿宋简体" w:hAnsi="方正仿宋简体" w:eastAsia="方正仿宋简体" w:cs="方正仿宋简体"/>
          <w:bCs/>
          <w:color w:val="auto"/>
          <w:sz w:val="32"/>
          <w:szCs w:val="32"/>
          <w:lang w:eastAsia="zh-CN"/>
        </w:rPr>
        <w:t>还应</w:t>
      </w:r>
      <w:r>
        <w:rPr>
          <w:rFonts w:hint="eastAsia" w:ascii="方正仿宋简体" w:hAnsi="方正仿宋简体" w:eastAsia="方正仿宋简体" w:cs="方正仿宋简体"/>
          <w:bCs/>
          <w:color w:val="auto"/>
          <w:sz w:val="32"/>
          <w:szCs w:val="32"/>
        </w:rPr>
        <w:t>包括正本</w:t>
      </w:r>
      <w:r>
        <w:rPr>
          <w:rFonts w:hint="eastAsia" w:ascii="方正仿宋简体" w:hAnsi="方正仿宋简体" w:eastAsia="方正仿宋简体" w:cs="方正仿宋简体"/>
          <w:bCs/>
          <w:color w:val="auto"/>
          <w:sz w:val="32"/>
          <w:szCs w:val="32"/>
          <w:u w:val="single"/>
          <w:lang w:val="en-US" w:eastAsia="zh-CN"/>
        </w:rPr>
        <w:t xml:space="preserve"> 1 </w:t>
      </w:r>
      <w:r>
        <w:rPr>
          <w:rFonts w:hint="eastAsia" w:ascii="方正仿宋简体" w:hAnsi="方正仿宋简体" w:eastAsia="方正仿宋简体" w:cs="方正仿宋简体"/>
          <w:bCs/>
          <w:color w:val="auto"/>
          <w:sz w:val="32"/>
          <w:szCs w:val="32"/>
        </w:rPr>
        <w:t>份并要</w:t>
      </w:r>
      <w:r>
        <w:rPr>
          <w:rFonts w:hint="eastAsia" w:ascii="方正仿宋简体" w:hAnsi="方正仿宋简体" w:eastAsia="方正仿宋简体" w:cs="方正仿宋简体"/>
          <w:color w:val="auto"/>
          <w:kern w:val="1"/>
          <w:sz w:val="32"/>
          <w:szCs w:val="32"/>
        </w:rPr>
        <w:t>求在投标截止日之前送达，逾期将作为作废标处理。</w:t>
      </w:r>
    </w:p>
    <w:p>
      <w:pPr>
        <w:pStyle w:val="3"/>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auto"/>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杨友文</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 xml:space="preserve">18262557266 </w:t>
      </w:r>
    </w:p>
    <w:p>
      <w:pPr>
        <w:pStyle w:val="4"/>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3"/>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FF0000"/>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b/>
          <w:bCs/>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凡投标人不具备招标人明确要求资质的，或投标文件填写不完整、报价有空项的，或不符合技术要求条款的，或者存在其他不符合招标人有关要求的问题，经招标人评标小组评定，可作废标处理。</w:t>
      </w:r>
    </w:p>
    <w:p>
      <w:pPr>
        <w:pStyle w:val="4"/>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未经招标人允许</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投标人不得以任何方式将本项目分包给第三方，否则按本合同总价的10%作为违约金，同时招标人有权终止本合同</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如因投标人不能正常履约，对招标人生产经营活动造成影响的，将承担违约责任，列入招标人供应商负面清单；如严重影响招标人生产经营活动的，招标人将依法追究投标方法律责任。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w:t>
      </w:r>
      <w:r>
        <w:rPr>
          <w:rFonts w:hint="eastAsia" w:ascii="方正仿宋简体" w:hAnsi="方正仿宋简体" w:eastAsia="方正仿宋简体" w:cs="方正仿宋简体"/>
          <w:bCs/>
          <w:color w:val="auto"/>
          <w:kern w:val="1"/>
          <w:sz w:val="32"/>
          <w:szCs w:val="32"/>
          <w:lang w:val="en-US" w:eastAsia="zh-CN"/>
        </w:rPr>
        <w:t>中标</w:t>
      </w:r>
      <w:r>
        <w:rPr>
          <w:rFonts w:hint="eastAsia" w:ascii="方正仿宋简体" w:hAnsi="方正仿宋简体" w:eastAsia="方正仿宋简体" w:cs="方正仿宋简体"/>
          <w:bCs/>
          <w:color w:val="auto"/>
          <w:kern w:val="1"/>
          <w:sz w:val="32"/>
          <w:szCs w:val="32"/>
        </w:rPr>
        <w:t>人没有按照规定的时间交货或提供服务，</w:t>
      </w:r>
      <w:r>
        <w:rPr>
          <w:rFonts w:hint="eastAsia" w:ascii="方正仿宋简体" w:hAnsi="方正仿宋简体" w:eastAsia="方正仿宋简体" w:cs="方正仿宋简体"/>
          <w:bCs/>
          <w:color w:val="auto"/>
          <w:kern w:val="1"/>
          <w:sz w:val="32"/>
          <w:szCs w:val="32"/>
          <w:lang w:val="en-US" w:eastAsia="zh-CN"/>
        </w:rPr>
        <w:t>中标人</w:t>
      </w:r>
      <w:r>
        <w:rPr>
          <w:rFonts w:hint="eastAsia" w:ascii="方正仿宋简体" w:hAnsi="方正仿宋简体" w:eastAsia="方正仿宋简体" w:cs="方正仿宋简体"/>
          <w:bCs/>
          <w:color w:val="auto"/>
          <w:kern w:val="1"/>
          <w:sz w:val="32"/>
          <w:szCs w:val="32"/>
        </w:rPr>
        <w:t>将支付违约金，违约金应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color w:val="auto"/>
          <w:kern w:val="1"/>
          <w:sz w:val="32"/>
          <w:szCs w:val="32"/>
          <w:lang w:eastAsia="zh-CN"/>
        </w:rPr>
        <w:t>。</w:t>
      </w:r>
    </w:p>
    <w:p>
      <w:pPr>
        <w:adjustRightInd w:val="0"/>
        <w:snapToGrid w:val="0"/>
        <w:spacing w:line="600" w:lineRule="exact"/>
        <w:ind w:firstLine="640" w:firstLineChars="200"/>
        <w:jc w:val="left"/>
        <w:rPr>
          <w:rFonts w:hint="eastAsia"/>
        </w:rPr>
      </w:pPr>
      <w:r>
        <w:rPr>
          <w:rFonts w:hint="eastAsia" w:ascii="方正楷体_GBK" w:hAnsi="方正楷体_GBK" w:eastAsia="方正楷体_GBK" w:cs="方正楷体_GBK"/>
          <w:bCs/>
          <w:color w:val="auto"/>
          <w:kern w:val="1"/>
          <w:sz w:val="32"/>
          <w:szCs w:val="32"/>
        </w:rPr>
        <w:t>（五）</w:t>
      </w:r>
      <w:r>
        <w:rPr>
          <w:rFonts w:hint="eastAsia" w:ascii="仿宋" w:hAnsi="仿宋" w:eastAsia="仿宋" w:cs="方正仿宋简体"/>
          <w:bCs/>
          <w:kern w:val="1"/>
          <w:sz w:val="32"/>
          <w:szCs w:val="32"/>
        </w:rPr>
        <w:t>因投标人的项目质量、逾期完成等原因给招标人造成直接和间接经济损失的，由投标人承担全部责任（如有异议请在报价时注明）。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投标人完成本合同规定的内容</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3"/>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lang w:val="en-US" w:eastAsia="zh-CN"/>
        </w:rPr>
        <w:t>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3"/>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2"/>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8990"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022"/>
        <w:gridCol w:w="1375"/>
        <w:gridCol w:w="233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02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233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0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kern w:val="2"/>
                <w:sz w:val="28"/>
                <w:szCs w:val="28"/>
                <w:lang w:val="en-US" w:eastAsia="zh-CN" w:bidi="ar-SA"/>
              </w:rPr>
              <w:t>镇江海纳川物流产业发展有限责任公司</w:t>
            </w:r>
            <w:r>
              <w:rPr>
                <w:rFonts w:hint="eastAsia" w:ascii="方正仿宋简体" w:hAnsi="方正仿宋简体" w:eastAsia="方正仿宋简体" w:cs="方正仿宋简体"/>
                <w:color w:val="auto"/>
                <w:kern w:val="1"/>
                <w:sz w:val="28"/>
                <w:szCs w:val="28"/>
                <w:highlight w:val="none"/>
                <w:u w:val="none"/>
                <w:lang w:val="en-US" w:eastAsia="zh-CN"/>
              </w:rPr>
              <w:t>2023年</w:t>
            </w:r>
            <w:r>
              <w:rPr>
                <w:rFonts w:hint="eastAsia" w:ascii="方正仿宋简体" w:hAnsi="方正仿宋简体" w:eastAsia="方正仿宋简体" w:cs="方正仿宋简体"/>
                <w:color w:val="auto"/>
                <w:kern w:val="1"/>
                <w:sz w:val="28"/>
                <w:szCs w:val="28"/>
                <w:highlight w:val="none"/>
                <w:u w:val="none"/>
                <w:lang w:eastAsia="zh-CN"/>
              </w:rPr>
              <w:t>职业病危害因素检测</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3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30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kern w:val="2"/>
                <w:sz w:val="28"/>
                <w:szCs w:val="28"/>
                <w:lang w:val="en-US" w:eastAsia="zh-CN" w:bidi="ar-SA"/>
              </w:rPr>
              <w:t>江苏省物资集团镇江储运开发有限公司2023年职业病危害因素检测</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3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p>
        </w:tc>
        <w:tc>
          <w:tcPr>
            <w:tcW w:w="302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kern w:val="2"/>
                <w:sz w:val="28"/>
                <w:szCs w:val="28"/>
                <w:lang w:val="en-US" w:eastAsia="zh-CN" w:bidi="ar-SA"/>
              </w:rPr>
            </w:pPr>
            <w:r>
              <w:rPr>
                <w:rFonts w:hint="eastAsia" w:ascii="方正仿宋简体" w:hAnsi="方正仿宋简体" w:eastAsia="方正仿宋简体" w:cs="方正仿宋简体"/>
                <w:kern w:val="2"/>
                <w:sz w:val="28"/>
                <w:szCs w:val="28"/>
                <w:lang w:val="en-US" w:eastAsia="zh-CN" w:bidi="ar-SA"/>
              </w:rPr>
              <w:t>镇江海纳川公铁运输有限公司2023年职业病危害因素检测</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23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131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auto"/>
          <w:sz w:val="32"/>
          <w:szCs w:val="32"/>
          <w:lang w:val="en-US" w:eastAsia="zh-CN"/>
        </w:rPr>
        <w:t>总</w:t>
      </w:r>
      <w:r>
        <w:rPr>
          <w:rFonts w:hint="eastAsia" w:ascii="方正仿宋简体" w:hAnsi="方正仿宋简体" w:eastAsia="方正仿宋简体" w:cs="方正仿宋简体"/>
          <w:color w:val="auto"/>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仿宋简体" w:hAnsi="方正仿宋简体" w:eastAsia="方正仿宋简体" w:cs="方正仿宋简体"/>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3"/>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pStyle w:val="3"/>
        <w:rPr>
          <w:rFonts w:hint="eastAsia" w:ascii="方正仿宋简体" w:hAnsi="方正仿宋简体" w:eastAsia="方正仿宋简体" w:cs="方正仿宋简体"/>
          <w:color w:val="000000"/>
          <w:sz w:val="32"/>
          <w:szCs w:val="32"/>
          <w:highlight w:val="none"/>
          <w:lang w:val="en-US" w:eastAsia="zh-CN"/>
        </w:rPr>
      </w:pPr>
    </w:p>
    <w:p>
      <w:pPr>
        <w:pStyle w:val="4"/>
        <w:rPr>
          <w:rFonts w:hint="eastAsia" w:ascii="方正仿宋简体" w:hAnsi="方正仿宋简体" w:eastAsia="方正仿宋简体" w:cs="方正仿宋简体"/>
          <w:color w:val="000000"/>
          <w:sz w:val="32"/>
          <w:szCs w:val="32"/>
          <w:highlight w:val="none"/>
          <w:lang w:val="en-US" w:eastAsia="zh-CN"/>
        </w:rPr>
      </w:pPr>
    </w:p>
    <w:p>
      <w:pPr>
        <w:pStyle w:val="4"/>
        <w:rPr>
          <w:rFonts w:hint="eastAsia" w:ascii="方正仿宋简体" w:hAnsi="方正仿宋简体" w:eastAsia="方正仿宋简体" w:cs="方正仿宋简体"/>
          <w:color w:val="000000"/>
          <w:sz w:val="32"/>
          <w:szCs w:val="32"/>
          <w:highlight w:val="none"/>
          <w:lang w:val="en-US" w:eastAsia="zh-CN"/>
        </w:rPr>
      </w:pPr>
    </w:p>
    <w:p>
      <w:pPr>
        <w:pStyle w:val="4"/>
        <w:rPr>
          <w:rFonts w:hint="eastAsia" w:ascii="方正仿宋简体" w:hAnsi="方正仿宋简体" w:eastAsia="方正仿宋简体" w:cs="方正仿宋简体"/>
          <w:color w:val="000000"/>
          <w:sz w:val="32"/>
          <w:szCs w:val="32"/>
          <w:highlight w:val="none"/>
          <w:lang w:val="en-US" w:eastAsia="zh-CN"/>
        </w:rPr>
      </w:pPr>
    </w:p>
    <w:p>
      <w:pPr>
        <w:pStyle w:val="4"/>
        <w:rPr>
          <w:rFonts w:hint="eastAsia" w:ascii="方正仿宋简体" w:hAnsi="方正仿宋简体" w:eastAsia="方正仿宋简体" w:cs="方正仿宋简体"/>
          <w:color w:val="000000"/>
          <w:sz w:val="32"/>
          <w:szCs w:val="32"/>
          <w:highlight w:val="none"/>
          <w:lang w:val="en-US" w:eastAsia="zh-CN"/>
        </w:rPr>
      </w:pPr>
    </w:p>
    <w:p>
      <w:pPr>
        <w:pStyle w:val="4"/>
        <w:rPr>
          <w:rFonts w:hint="eastAsia" w:ascii="方正仿宋简体" w:hAnsi="方正仿宋简体" w:eastAsia="方正仿宋简体" w:cs="方正仿宋简体"/>
          <w:color w:val="000000"/>
          <w:sz w:val="32"/>
          <w:szCs w:val="32"/>
          <w:highlight w:val="none"/>
          <w:lang w:val="en-US" w:eastAsia="zh-CN"/>
        </w:rPr>
      </w:pPr>
    </w:p>
    <w:p>
      <w:pPr>
        <w:pStyle w:val="4"/>
        <w:rPr>
          <w:rFonts w:hint="eastAsia" w:ascii="方正仿宋简体" w:hAnsi="方正仿宋简体" w:eastAsia="方正仿宋简体" w:cs="方正仿宋简体"/>
          <w:color w:val="000000"/>
          <w:sz w:val="32"/>
          <w:szCs w:val="32"/>
          <w:highlight w:val="none"/>
          <w:lang w:val="en-US" w:eastAsia="zh-CN"/>
        </w:rPr>
      </w:pPr>
    </w:p>
    <w:p>
      <w:pPr>
        <w:pStyle w:val="8"/>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附件2</w:t>
      </w:r>
    </w:p>
    <w:tbl>
      <w:tblPr>
        <w:tblStyle w:val="10"/>
        <w:tblW w:w="10080" w:type="dxa"/>
        <w:tblInd w:w="-38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660"/>
        <w:gridCol w:w="1800"/>
        <w:gridCol w:w="2790"/>
        <w:gridCol w:w="48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080" w:type="dxa"/>
            <w:gridSpan w:val="4"/>
            <w:tcBorders>
              <w:top w:val="nil"/>
              <w:left w:val="nil"/>
              <w:bottom w:val="single" w:color="auto" w:sz="4" w:space="0"/>
              <w:right w:val="nil"/>
            </w:tcBorders>
            <w:vAlign w:val="center"/>
          </w:tcPr>
          <w:p>
            <w:pPr>
              <w:widowControl/>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lang w:val="en-US" w:eastAsia="zh-CN" w:bidi="ar-SA"/>
              </w:rPr>
              <w:t>20</w:t>
            </w:r>
            <w:r>
              <w:rPr>
                <w:rFonts w:hint="eastAsia" w:ascii="宋体" w:hAnsi="宋体" w:cs="宋体"/>
                <w:b/>
                <w:i w:val="0"/>
                <w:color w:val="auto"/>
                <w:kern w:val="0"/>
                <w:sz w:val="32"/>
                <w:szCs w:val="32"/>
                <w:u w:val="none"/>
                <w:lang w:val="en-US" w:eastAsia="zh-CN" w:bidi="ar-SA"/>
              </w:rPr>
              <w:t>23</w:t>
            </w:r>
            <w:r>
              <w:rPr>
                <w:rFonts w:hint="eastAsia" w:ascii="宋体" w:hAnsi="宋体" w:eastAsia="宋体" w:cs="宋体"/>
                <w:b/>
                <w:i w:val="0"/>
                <w:color w:val="auto"/>
                <w:kern w:val="0"/>
                <w:sz w:val="32"/>
                <w:szCs w:val="32"/>
                <w:u w:val="none"/>
                <w:lang w:val="en-US" w:eastAsia="zh-CN" w:bidi="ar-SA"/>
              </w:rPr>
              <w:t>年职业病危害因素检测点统计表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检测区域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检测地点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检测项目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铁路装卸区域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铁路高站台库房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氟硅酸钠（氟化物）</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氢氧化钠</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氢氧化钾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铁路化三线堆场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氢氧化钠</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氢氧化钾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汽修维修区域</w:t>
            </w:r>
          </w:p>
        </w:tc>
        <w:tc>
          <w:tcPr>
            <w:tcW w:w="2790"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普货维修厂房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溶剂汽油</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砂轮磨尘</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电焊烟尘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2790"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危化品维修厂房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溶剂汽油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SA"/>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喷漆房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甲苯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二甲苯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甲醛</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其他粉尘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SA"/>
              </w:rPr>
            </w:pPr>
          </w:p>
        </w:tc>
        <w:tc>
          <w:tcPr>
            <w:tcW w:w="1800" w:type="dxa"/>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839"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危化码头及煤炭码头区域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危化码头班1号泊位</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硫化氢</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二氧化硫</w:t>
            </w:r>
            <w:r>
              <w:rPr>
                <w:rFonts w:hint="eastAsia" w:ascii="宋体" w:hAnsi="宋体" w:cs="宋体"/>
                <w:i w:val="0"/>
                <w:color w:val="auto"/>
                <w:kern w:val="0"/>
                <w:sz w:val="21"/>
                <w:szCs w:val="21"/>
                <w:u w:val="none"/>
                <w:lang w:val="en-US" w:eastAsia="zh-CN" w:bidi="ar-SA"/>
              </w:rPr>
              <w:t>、</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5"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危化码头及煤炭码头区域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危化码头班2号泊位</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69"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w:t>
            </w:r>
            <w:r>
              <w:rPr>
                <w:rFonts w:hint="eastAsia" w:ascii="宋体" w:hAnsi="宋体" w:cs="宋体"/>
                <w:i w:val="0"/>
                <w:color w:val="auto"/>
                <w:kern w:val="0"/>
                <w:sz w:val="21"/>
                <w:szCs w:val="21"/>
                <w:u w:val="none"/>
                <w:lang w:val="en-US" w:eastAsia="zh-CN" w:bidi="ar-SA"/>
              </w:rPr>
              <w:t>现场</w:t>
            </w:r>
            <w:r>
              <w:rPr>
                <w:rFonts w:hint="eastAsia" w:ascii="宋体" w:hAnsi="宋体" w:eastAsia="宋体" w:cs="宋体"/>
                <w:i w:val="0"/>
                <w:color w:val="auto"/>
                <w:kern w:val="0"/>
                <w:sz w:val="21"/>
                <w:szCs w:val="21"/>
                <w:u w:val="none"/>
                <w:lang w:val="en-US" w:eastAsia="zh-CN" w:bidi="ar-SA"/>
              </w:rPr>
              <w:t>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硫化氢</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二氧化硫</w:t>
            </w:r>
            <w:r>
              <w:rPr>
                <w:rFonts w:hint="eastAsia" w:ascii="宋体" w:hAnsi="宋体" w:cs="宋体"/>
                <w:i w:val="0"/>
                <w:color w:val="auto"/>
                <w:kern w:val="0"/>
                <w:sz w:val="21"/>
                <w:szCs w:val="21"/>
                <w:u w:val="none"/>
                <w:lang w:val="en-US" w:eastAsia="zh-CN" w:bidi="ar-SA"/>
              </w:rPr>
              <w:t>、</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34"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危化码头班操作室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甲醇</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乙酸乙酯</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乙酸</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硫化氢</w:t>
            </w:r>
            <w:r>
              <w:rPr>
                <w:rFonts w:hint="eastAsia" w:ascii="宋体" w:hAnsi="宋体" w:cs="宋体"/>
                <w:i w:val="0"/>
                <w:color w:val="auto"/>
                <w:kern w:val="0"/>
                <w:sz w:val="21"/>
                <w:szCs w:val="21"/>
                <w:u w:val="none"/>
                <w:lang w:val="en-US" w:eastAsia="zh-CN" w:bidi="ar-SA"/>
              </w:rPr>
              <w:t>、</w:t>
            </w:r>
            <w:r>
              <w:rPr>
                <w:rFonts w:hint="eastAsia" w:ascii="宋体" w:hAnsi="宋体" w:eastAsia="宋体" w:cs="宋体"/>
                <w:i w:val="0"/>
                <w:color w:val="auto"/>
                <w:kern w:val="0"/>
                <w:sz w:val="21"/>
                <w:szCs w:val="21"/>
                <w:u w:val="none"/>
                <w:lang w:val="en-US" w:eastAsia="zh-CN" w:bidi="ar-SA"/>
              </w:rPr>
              <w:t>二氧化硫</w:t>
            </w:r>
            <w:r>
              <w:rPr>
                <w:rFonts w:hint="eastAsia" w:ascii="宋体" w:hAnsi="宋体" w:cs="宋体"/>
                <w:i w:val="0"/>
                <w:color w:val="auto"/>
                <w:kern w:val="0"/>
                <w:sz w:val="21"/>
                <w:szCs w:val="21"/>
                <w:u w:val="none"/>
                <w:lang w:val="en-US" w:eastAsia="zh-CN" w:bidi="ar-SA"/>
              </w:rPr>
              <w:t>、</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二氧化碳趸船泊位</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r>
              <w:rPr>
                <w:rFonts w:hint="eastAsia" w:ascii="宋体" w:hAnsi="宋体" w:cs="宋体"/>
                <w:i w:val="0"/>
                <w:color w:val="auto"/>
                <w:kern w:val="0"/>
                <w:sz w:val="21"/>
                <w:szCs w:val="21"/>
                <w:u w:val="none"/>
                <w:lang w:val="en-US" w:eastAsia="zh-CN" w:bidi="ar-SA"/>
              </w:rPr>
              <w:t>、硫酸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二氧化碳趸船泊位操作室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r>
              <w:rPr>
                <w:rFonts w:hint="eastAsia" w:ascii="宋体" w:hAnsi="宋体" w:cs="宋体"/>
                <w:i w:val="0"/>
                <w:color w:val="auto"/>
                <w:kern w:val="0"/>
                <w:sz w:val="21"/>
                <w:szCs w:val="21"/>
                <w:u w:val="none"/>
                <w:lang w:val="en-US" w:eastAsia="zh-CN" w:bidi="ar-SA"/>
              </w:rPr>
              <w:t>、硫酸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煤炭码头班卸船机操作室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SA"/>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煤炭码头班卸船机操作室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kern w:val="0"/>
                <w:sz w:val="21"/>
                <w:szCs w:val="21"/>
                <w:u w:val="none"/>
                <w:lang w:val="en-US" w:eastAsia="zh-CN" w:bidi="ar-SA"/>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煤炭码头班现场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煤粉尘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煤炭码头班现场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煤炭码头班操作室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煤粉尘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仓储班乙酸乙酯泵区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V35103</w:t>
            </w:r>
            <w:r>
              <w:rPr>
                <w:rFonts w:hint="eastAsia" w:ascii="宋体" w:hAnsi="宋体" w:eastAsia="宋体" w:cs="宋体"/>
                <w:i w:val="0"/>
                <w:color w:val="auto"/>
                <w:kern w:val="0"/>
                <w:sz w:val="21"/>
                <w:szCs w:val="21"/>
                <w:u w:val="none"/>
                <w:lang w:val="en-US" w:eastAsia="zh-CN" w:bidi="ar-SA"/>
              </w:rPr>
              <w:t>乙酸乙酯罐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VOC</w:t>
            </w:r>
            <w:r>
              <w:rPr>
                <w:rFonts w:hint="eastAsia" w:ascii="宋体" w:hAnsi="宋体" w:eastAsia="宋体" w:cs="宋体"/>
                <w:i w:val="0"/>
                <w:color w:val="auto"/>
                <w:kern w:val="0"/>
                <w:sz w:val="21"/>
                <w:szCs w:val="21"/>
                <w:u w:val="none"/>
                <w:lang w:val="en-US" w:eastAsia="zh-CN" w:bidi="ar-SA"/>
              </w:rPr>
              <w:t>装置</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3</w:t>
            </w:r>
            <w:r>
              <w:rPr>
                <w:rFonts w:hint="eastAsia" w:ascii="宋体" w:hAnsi="宋体" w:eastAsia="宋体" w:cs="宋体"/>
                <w:i w:val="0"/>
                <w:color w:val="auto"/>
                <w:kern w:val="0"/>
                <w:sz w:val="21"/>
                <w:szCs w:val="21"/>
                <w:u w:val="none"/>
                <w:lang w:val="en-US" w:eastAsia="zh-CN" w:bidi="ar-SA"/>
              </w:rPr>
              <w:t>号乙酸乙酯装卸点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乙酸乙酯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V5305</w:t>
            </w:r>
            <w:r>
              <w:rPr>
                <w:rFonts w:hint="eastAsia" w:ascii="宋体" w:hAnsi="宋体" w:eastAsia="宋体" w:cs="宋体"/>
                <w:i w:val="0"/>
                <w:color w:val="auto"/>
                <w:kern w:val="0"/>
                <w:sz w:val="21"/>
                <w:szCs w:val="21"/>
                <w:u w:val="none"/>
                <w:lang w:val="en-US" w:eastAsia="zh-CN" w:bidi="ar-SA"/>
              </w:rPr>
              <w:t>醋酸罐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仓储班千方醋酸泵区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仓储班万方醋酸泵区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V5201</w:t>
            </w:r>
            <w:r>
              <w:rPr>
                <w:rFonts w:hint="eastAsia" w:ascii="宋体" w:hAnsi="宋体" w:eastAsia="宋体" w:cs="宋体"/>
                <w:i w:val="0"/>
                <w:color w:val="auto"/>
                <w:kern w:val="0"/>
                <w:sz w:val="21"/>
                <w:szCs w:val="21"/>
                <w:u w:val="none"/>
                <w:lang w:val="en-US" w:eastAsia="zh-CN" w:bidi="ar-SA"/>
              </w:rPr>
              <w:t>醋酸罐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1</w:t>
            </w:r>
            <w:r>
              <w:rPr>
                <w:rFonts w:hint="eastAsia" w:ascii="宋体" w:hAnsi="宋体" w:eastAsia="宋体" w:cs="宋体"/>
                <w:i w:val="0"/>
                <w:color w:val="auto"/>
                <w:kern w:val="0"/>
                <w:sz w:val="21"/>
                <w:szCs w:val="21"/>
                <w:u w:val="none"/>
                <w:lang w:val="en-US" w:eastAsia="zh-CN" w:bidi="ar-SA"/>
              </w:rPr>
              <w:t>号醋酸装卸点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乙酸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仓储班甲醇泵区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5</w:t>
            </w:r>
            <w:r>
              <w:rPr>
                <w:rFonts w:hint="eastAsia" w:ascii="宋体" w:hAnsi="宋体" w:eastAsia="宋体" w:cs="宋体"/>
                <w:i w:val="0"/>
                <w:color w:val="auto"/>
                <w:kern w:val="0"/>
                <w:sz w:val="21"/>
                <w:szCs w:val="21"/>
                <w:u w:val="none"/>
                <w:lang w:val="en-US" w:eastAsia="zh-CN" w:bidi="ar-SA"/>
              </w:rPr>
              <w:t>号甲醇装卸点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V5301</w:t>
            </w:r>
            <w:r>
              <w:rPr>
                <w:rFonts w:hint="eastAsia" w:ascii="宋体" w:hAnsi="宋体" w:eastAsia="宋体" w:cs="宋体"/>
                <w:i w:val="0"/>
                <w:color w:val="auto"/>
                <w:kern w:val="0"/>
                <w:sz w:val="21"/>
                <w:szCs w:val="21"/>
                <w:u w:val="none"/>
                <w:lang w:val="en-US" w:eastAsia="zh-CN" w:bidi="ar-SA"/>
              </w:rPr>
              <w:t>甲醇罐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甲醇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仓储班二氧化碳球罐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仓储班二氧化碳球罐泵区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二氧化碳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4#</w:t>
            </w:r>
            <w:r>
              <w:rPr>
                <w:rFonts w:hint="eastAsia" w:ascii="宋体" w:hAnsi="宋体" w:eastAsia="宋体" w:cs="宋体"/>
                <w:i w:val="0"/>
                <w:color w:val="auto"/>
                <w:kern w:val="0"/>
                <w:sz w:val="21"/>
                <w:szCs w:val="21"/>
                <w:u w:val="none"/>
                <w:lang w:val="en-US" w:eastAsia="zh-CN" w:bidi="ar-SA"/>
              </w:rPr>
              <w:t>液磺罐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仓储班液磺发车泵区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仓储班液磺装车平台</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仓储班甲醇泵区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仓储班乙醇泵区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仓储班千方醋酸泵区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仓储班乙酸乙酯泵区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w:t>
            </w:r>
            <w:r>
              <w:rPr>
                <w:rFonts w:hint="eastAsia" w:ascii="Times New Roman" w:hAnsi="Times New Roman" w:eastAsia="宋体" w:cs="Times New Roman"/>
                <w:i w:val="0"/>
                <w:color w:val="auto"/>
                <w:kern w:val="0"/>
                <w:sz w:val="21"/>
                <w:szCs w:val="21"/>
                <w:u w:val="none"/>
                <w:lang w:val="en-US" w:eastAsia="zh-CN" w:bidi="ar-SA"/>
              </w:rPr>
              <w:t>VOC</w:t>
            </w:r>
            <w:r>
              <w:rPr>
                <w:rFonts w:hint="eastAsia" w:ascii="宋体" w:hAnsi="宋体" w:eastAsia="宋体" w:cs="宋体"/>
                <w:i w:val="0"/>
                <w:color w:val="auto"/>
                <w:kern w:val="0"/>
                <w:sz w:val="21"/>
                <w:szCs w:val="21"/>
                <w:u w:val="none"/>
                <w:lang w:val="en-US" w:eastAsia="zh-CN" w:bidi="ar-SA"/>
              </w:rPr>
              <w:t>装置</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仓储班液磺发车泵区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仓储班万方醋酸泵区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仓储班二氧化碳泵区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1</w:t>
            </w:r>
            <w:r>
              <w:rPr>
                <w:rFonts w:hint="eastAsia" w:ascii="宋体" w:hAnsi="宋体" w:eastAsia="宋体" w:cs="宋体"/>
                <w:i w:val="0"/>
                <w:color w:val="auto"/>
                <w:kern w:val="0"/>
                <w:sz w:val="21"/>
                <w:szCs w:val="21"/>
                <w:u w:val="none"/>
                <w:lang w:val="en-US" w:eastAsia="zh-CN" w:bidi="ar-SA"/>
              </w:rPr>
              <w:t>号醋酸装卸点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3</w:t>
            </w:r>
            <w:r>
              <w:rPr>
                <w:rFonts w:hint="eastAsia" w:ascii="宋体" w:hAnsi="宋体" w:eastAsia="宋体" w:cs="宋体"/>
                <w:i w:val="0"/>
                <w:color w:val="auto"/>
                <w:kern w:val="0"/>
                <w:sz w:val="21"/>
                <w:szCs w:val="21"/>
                <w:u w:val="none"/>
                <w:lang w:val="en-US" w:eastAsia="zh-CN" w:bidi="ar-SA"/>
              </w:rPr>
              <w:t>号乙酸乙酯装卸点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5</w:t>
            </w:r>
            <w:r>
              <w:rPr>
                <w:rFonts w:hint="eastAsia" w:ascii="宋体" w:hAnsi="宋体" w:eastAsia="宋体" w:cs="宋体"/>
                <w:i w:val="0"/>
                <w:color w:val="auto"/>
                <w:kern w:val="0"/>
                <w:sz w:val="21"/>
                <w:szCs w:val="21"/>
                <w:u w:val="none"/>
                <w:lang w:val="en-US" w:eastAsia="zh-CN" w:bidi="ar-SA"/>
              </w:rPr>
              <w:t>号甲醇装卸点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w:t>
            </w:r>
            <w:r>
              <w:rPr>
                <w:rFonts w:hint="eastAsia" w:ascii="Times New Roman" w:hAnsi="Times New Roman" w:eastAsia="宋体" w:cs="Times New Roman"/>
                <w:i w:val="0"/>
                <w:color w:val="auto"/>
                <w:kern w:val="0"/>
                <w:sz w:val="21"/>
                <w:szCs w:val="21"/>
                <w:u w:val="none"/>
                <w:lang w:val="en-US" w:eastAsia="zh-CN" w:bidi="ar-SA"/>
              </w:rPr>
              <w:t>6</w:t>
            </w:r>
            <w:r>
              <w:rPr>
                <w:rFonts w:hint="eastAsia" w:ascii="宋体" w:hAnsi="宋体" w:eastAsia="宋体" w:cs="宋体"/>
                <w:i w:val="0"/>
                <w:color w:val="auto"/>
                <w:kern w:val="0"/>
                <w:sz w:val="21"/>
                <w:szCs w:val="21"/>
                <w:u w:val="none"/>
                <w:lang w:val="en-US" w:eastAsia="zh-CN" w:bidi="ar-SA"/>
              </w:rPr>
              <w:t>号乙醇装卸点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仓储班液磺装车平台</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仓储班VOC装置</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仓储班4#液磺罐</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仓储班液磺发车泵区</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仓储班收车岛1号醋酸装卸点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仓储班收车岛5号甲醇装卸点</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仓储班液磺装车平台</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高温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仓储班服务大厅</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工频电场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仓储班液磺罐组操作室</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照度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仓储班服务大厅</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照度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沥青码头区域</w:t>
            </w: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储运放料口</w:t>
            </w:r>
            <w:r>
              <w:rPr>
                <w:rFonts w:hint="eastAsia" w:ascii="Times New Roman" w:hAnsi="Times New Roman" w:eastAsia="宋体" w:cs="Times New Roman"/>
                <w:i w:val="0"/>
                <w:color w:val="auto"/>
                <w:kern w:val="0"/>
                <w:sz w:val="21"/>
                <w:szCs w:val="21"/>
                <w:u w:val="none"/>
                <w:lang w:val="en-US" w:eastAsia="zh-CN" w:bidi="ar-SA"/>
              </w:rPr>
              <w:t>1</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储运放料口</w:t>
            </w:r>
            <w:r>
              <w:rPr>
                <w:rFonts w:hint="eastAsia" w:ascii="Times New Roman" w:hAnsi="Times New Roman" w:eastAsia="宋体" w:cs="Times New Roman"/>
                <w:i w:val="0"/>
                <w:color w:val="auto"/>
                <w:kern w:val="0"/>
                <w:sz w:val="21"/>
                <w:szCs w:val="21"/>
                <w:u w:val="none"/>
                <w:lang w:val="en-US" w:eastAsia="zh-CN" w:bidi="ar-SA"/>
              </w:rPr>
              <w:t>2</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储运放料口</w:t>
            </w:r>
            <w:r>
              <w:rPr>
                <w:rFonts w:hint="eastAsia" w:ascii="Times New Roman" w:hAnsi="Times New Roman" w:eastAsia="宋体" w:cs="Times New Roman"/>
                <w:i w:val="0"/>
                <w:color w:val="auto"/>
                <w:kern w:val="0"/>
                <w:sz w:val="21"/>
                <w:szCs w:val="21"/>
                <w:u w:val="none"/>
                <w:lang w:val="en-US" w:eastAsia="zh-CN" w:bidi="ar-SA"/>
              </w:rPr>
              <w:t>3</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硫化氢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eastAsia" w:ascii="宋体" w:hAnsi="宋体" w:eastAsia="宋体" w:cs="宋体"/>
                <w:i w:val="0"/>
                <w:color w:val="auto"/>
                <w:sz w:val="21"/>
                <w:szCs w:val="21"/>
                <w:u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储运水泵房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噪声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bottom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kern w:val="2"/>
                <w:sz w:val="21"/>
                <w:szCs w:val="21"/>
                <w:lang w:val="en-US" w:eastAsia="zh-CN" w:bidi="ar-SA"/>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储运水泵房</w:t>
            </w:r>
          </w:p>
        </w:tc>
        <w:tc>
          <w:tcPr>
            <w:tcW w:w="4830" w:type="dxa"/>
            <w:tcBorders>
              <w:top w:val="single" w:color="auto" w:sz="4" w:space="0"/>
              <w:left w:val="single" w:color="auto" w:sz="4" w:space="0"/>
              <w:bottom w:val="single" w:color="auto"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照度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60" w:type="dxa"/>
            <w:tcBorders>
              <w:top w:val="single" w:color="auto" w:sz="4" w:space="0"/>
              <w:right w:val="single" w:color="auto" w:sz="4" w:space="0"/>
            </w:tcBorders>
            <w:vAlign w:val="center"/>
          </w:tcPr>
          <w:p>
            <w:pPr>
              <w:widowControl/>
              <w:numPr>
                <w:ilvl w:val="0"/>
                <w:numId w:val="3"/>
              </w:numPr>
              <w:ind w:left="0" w:leftChars="0" w:firstLine="0" w:firstLineChars="0"/>
              <w:jc w:val="center"/>
              <w:textAlignment w:val="center"/>
              <w:rPr>
                <w:rFonts w:hint="default" w:ascii="宋体" w:hAnsi="宋体" w:eastAsia="宋体" w:cs="宋体"/>
                <w:i w:val="0"/>
                <w:color w:val="auto"/>
                <w:sz w:val="21"/>
                <w:szCs w:val="21"/>
                <w:u w:val="none"/>
                <w:lang w:val="en-US" w:eastAsia="zh-CN"/>
              </w:rPr>
            </w:pPr>
          </w:p>
        </w:tc>
        <w:tc>
          <w:tcPr>
            <w:tcW w:w="1800" w:type="dxa"/>
            <w:vMerge w:val="continue"/>
            <w:tcBorders>
              <w:top w:val="single" w:color="auto" w:sz="4" w:space="0"/>
              <w:left w:val="single" w:color="auto" w:sz="4" w:space="0"/>
              <w:right w:val="single" w:color="auto" w:sz="4" w:space="0"/>
            </w:tcBorders>
            <w:vAlign w:val="center"/>
          </w:tcPr>
          <w:p>
            <w:pPr>
              <w:jc w:val="center"/>
              <w:rPr>
                <w:rFonts w:hint="eastAsia" w:ascii="宋体" w:hAnsi="宋体" w:eastAsia="宋体" w:cs="宋体"/>
                <w:i w:val="0"/>
                <w:color w:val="auto"/>
                <w:sz w:val="21"/>
                <w:szCs w:val="21"/>
                <w:u w:val="none"/>
              </w:rPr>
            </w:pPr>
          </w:p>
        </w:tc>
        <w:tc>
          <w:tcPr>
            <w:tcW w:w="2790"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储运变配电间</w:t>
            </w:r>
          </w:p>
        </w:tc>
        <w:tc>
          <w:tcPr>
            <w:tcW w:w="4830" w:type="dxa"/>
            <w:tcBorders>
              <w:top w:val="single" w:color="auto" w:sz="4" w:space="0"/>
              <w:left w:val="single" w:color="auto"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工频电场</w:t>
            </w:r>
          </w:p>
        </w:tc>
      </w:tr>
    </w:tbl>
    <w:p>
      <w:pPr>
        <w:pStyle w:val="4"/>
        <w:rPr>
          <w:rFonts w:hint="default"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F2232"/>
    <w:multiLevelType w:val="singleLevel"/>
    <w:tmpl w:val="BE2F2232"/>
    <w:lvl w:ilvl="0" w:tentative="0">
      <w:start w:val="1"/>
      <w:numFmt w:val="decimal"/>
      <w:lvlText w:val="%1"/>
      <w:lvlJc w:val="left"/>
      <w:pPr>
        <w:tabs>
          <w:tab w:val="left" w:pos="312"/>
        </w:tabs>
      </w:pPr>
      <w:rPr>
        <w:rFonts w:hint="default"/>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4538B"/>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B20F7"/>
    <w:rsid w:val="00DD194E"/>
    <w:rsid w:val="00E45A9C"/>
    <w:rsid w:val="00E74639"/>
    <w:rsid w:val="00E9659A"/>
    <w:rsid w:val="00F16E4B"/>
    <w:rsid w:val="00F32DB5"/>
    <w:rsid w:val="00F45B42"/>
    <w:rsid w:val="00FA1409"/>
    <w:rsid w:val="00FF61CA"/>
    <w:rsid w:val="01C316CF"/>
    <w:rsid w:val="02982D73"/>
    <w:rsid w:val="073E6F3C"/>
    <w:rsid w:val="0A911A78"/>
    <w:rsid w:val="0CCD460E"/>
    <w:rsid w:val="0D3861DB"/>
    <w:rsid w:val="10596B94"/>
    <w:rsid w:val="107C7931"/>
    <w:rsid w:val="10AA5642"/>
    <w:rsid w:val="129F0AAB"/>
    <w:rsid w:val="1444244B"/>
    <w:rsid w:val="14EA645D"/>
    <w:rsid w:val="19181A3A"/>
    <w:rsid w:val="1BA5130B"/>
    <w:rsid w:val="1F680BA2"/>
    <w:rsid w:val="1FEF6BCD"/>
    <w:rsid w:val="20B54508"/>
    <w:rsid w:val="20CF4C51"/>
    <w:rsid w:val="20FF257A"/>
    <w:rsid w:val="225D796E"/>
    <w:rsid w:val="23FE3D9C"/>
    <w:rsid w:val="24EC6623"/>
    <w:rsid w:val="2A263B34"/>
    <w:rsid w:val="2BBD3669"/>
    <w:rsid w:val="2E026666"/>
    <w:rsid w:val="2E16582B"/>
    <w:rsid w:val="2E4116FA"/>
    <w:rsid w:val="31262BAF"/>
    <w:rsid w:val="324A56ED"/>
    <w:rsid w:val="330F093A"/>
    <w:rsid w:val="345E036E"/>
    <w:rsid w:val="34E37CA8"/>
    <w:rsid w:val="359E47FF"/>
    <w:rsid w:val="35B72FCB"/>
    <w:rsid w:val="35DA3E68"/>
    <w:rsid w:val="36733DEB"/>
    <w:rsid w:val="379A3E49"/>
    <w:rsid w:val="381F5C57"/>
    <w:rsid w:val="391E61C3"/>
    <w:rsid w:val="3B5D45FD"/>
    <w:rsid w:val="3E90381A"/>
    <w:rsid w:val="416D2207"/>
    <w:rsid w:val="43EC12FF"/>
    <w:rsid w:val="43F87E97"/>
    <w:rsid w:val="44A63B95"/>
    <w:rsid w:val="44E509D4"/>
    <w:rsid w:val="4DC0511E"/>
    <w:rsid w:val="4DFC0584"/>
    <w:rsid w:val="4E8F0C6E"/>
    <w:rsid w:val="4FAC5BC3"/>
    <w:rsid w:val="4FC61FF0"/>
    <w:rsid w:val="50846203"/>
    <w:rsid w:val="50C03AEB"/>
    <w:rsid w:val="52291B63"/>
    <w:rsid w:val="538763B9"/>
    <w:rsid w:val="550F6DEF"/>
    <w:rsid w:val="55BF1284"/>
    <w:rsid w:val="55DC546E"/>
    <w:rsid w:val="56FE711B"/>
    <w:rsid w:val="579C3951"/>
    <w:rsid w:val="585533A2"/>
    <w:rsid w:val="585D2567"/>
    <w:rsid w:val="58C41A48"/>
    <w:rsid w:val="596D6B7C"/>
    <w:rsid w:val="5B146172"/>
    <w:rsid w:val="5BBE331C"/>
    <w:rsid w:val="5CEC747F"/>
    <w:rsid w:val="5F4C4ACE"/>
    <w:rsid w:val="631E4243"/>
    <w:rsid w:val="66202ABE"/>
    <w:rsid w:val="66441755"/>
    <w:rsid w:val="664D3C1B"/>
    <w:rsid w:val="66CF713B"/>
    <w:rsid w:val="66DC1C61"/>
    <w:rsid w:val="68961ACE"/>
    <w:rsid w:val="6AEF23D7"/>
    <w:rsid w:val="6BB9765C"/>
    <w:rsid w:val="6D9745DB"/>
    <w:rsid w:val="7205184D"/>
    <w:rsid w:val="72343EE1"/>
    <w:rsid w:val="726141AB"/>
    <w:rsid w:val="739E1612"/>
    <w:rsid w:val="7406451D"/>
    <w:rsid w:val="756A3232"/>
    <w:rsid w:val="764A7B9F"/>
    <w:rsid w:val="767B05AE"/>
    <w:rsid w:val="783458C3"/>
    <w:rsid w:val="78EB38E1"/>
    <w:rsid w:val="7A1E0C67"/>
    <w:rsid w:val="7B044DE1"/>
    <w:rsid w:val="7C2A25DC"/>
    <w:rsid w:val="7D1A578E"/>
    <w:rsid w:val="7DD76804"/>
    <w:rsid w:val="7E355BC9"/>
    <w:rsid w:val="7F00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6789</Words>
  <Characters>7065</Characters>
  <Lines>24</Lines>
  <Paragraphs>6</Paragraphs>
  <TotalTime>1</TotalTime>
  <ScaleCrop>false</ScaleCrop>
  <LinksUpToDate>false</LinksUpToDate>
  <CharactersWithSpaces>7271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2023-10-11T07:54:22Z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7E0D4353FD39482896C54290A343D529_13</vt:lpwstr>
  </property>
</Properties>
</file>