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pPr>
        <w:pStyle w:val="2"/>
        <w:rPr>
          <w:rFonts w:ascii="方正小标宋简体" w:eastAsia="方正小标宋简体" w:cs="宋体"/>
        </w:rPr>
      </w:pPr>
      <w:r>
        <w:rPr>
          <w:rFonts w:hint="eastAsia" w:ascii="方正小标宋简体" w:hAnsi="宋体" w:eastAsia="方正小标宋简体" w:cs="宋体"/>
        </w:rPr>
        <w:t>招标文件</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w:t>
      </w:r>
      <w:r>
        <w:rPr>
          <w:rFonts w:hint="eastAsia" w:ascii="方正仿宋简体" w:hAnsi="方正仿宋简体" w:eastAsia="方正仿宋简体" w:cs="方正仿宋简体"/>
          <w:bCs/>
          <w:color w:val="FF0000"/>
          <w:sz w:val="32"/>
          <w:szCs w:val="32"/>
          <w:lang w:val="zh-CN"/>
        </w:rPr>
        <w:t>自主公开招标</w:t>
      </w:r>
      <w:r>
        <w:rPr>
          <w:rFonts w:hint="eastAsia" w:ascii="方正仿宋简体" w:hAnsi="方正仿宋简体" w:eastAsia="方正仿宋简体" w:cs="方正仿宋简体"/>
          <w:bCs/>
          <w:sz w:val="32"/>
          <w:szCs w:val="32"/>
          <w:lang w:val="zh-CN"/>
        </w:rPr>
        <w:t>的方式选定供应商，</w:t>
      </w:r>
      <w:r>
        <w:rPr>
          <w:rFonts w:hint="eastAsia" w:ascii="方正仿宋简体" w:hAnsi="方正仿宋简体" w:eastAsia="方正仿宋简体" w:cs="方正仿宋简体"/>
          <w:color w:val="FF0000"/>
          <w:sz w:val="32"/>
          <w:szCs w:val="32"/>
        </w:rPr>
        <w:t>欢迎具有相关资质的厂商前来投标。</w:t>
      </w:r>
    </w:p>
    <w:p>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rPr>
        <w:t xml:space="preserve"> </w:t>
      </w:r>
      <w:r>
        <w:rPr>
          <w:rFonts w:hint="eastAsia" w:ascii="方正仿宋简体" w:hAnsi="方正仿宋简体" w:eastAsia="方正仿宋简体" w:cs="方正仿宋简体"/>
          <w:bCs/>
          <w:kern w:val="1"/>
          <w:sz w:val="32"/>
          <w:szCs w:val="32"/>
          <w:u w:val="single"/>
        </w:rPr>
        <w:t>20231012港口橡胶护舷采购</w:t>
      </w:r>
      <w:r>
        <w:rPr>
          <w:rFonts w:hint="eastAsia" w:ascii="方正仿宋简体" w:hAnsi="方正仿宋简体" w:eastAsia="方正仿宋简体" w:cs="方正仿宋简体"/>
          <w:bCs/>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交货时间：</w:t>
      </w:r>
      <w:r>
        <w:rPr>
          <w:rFonts w:hint="eastAsia" w:ascii="方正仿宋简体" w:hAnsi="方正仿宋简体" w:eastAsia="方正仿宋简体" w:cs="方正仿宋简体"/>
          <w:kern w:val="1"/>
          <w:sz w:val="32"/>
          <w:szCs w:val="32"/>
          <w:u w:val="single"/>
        </w:rPr>
        <w:t>合同签订生效后30天内供货</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color w:val="FF0000"/>
          <w:sz w:val="30"/>
          <w:szCs w:val="30"/>
        </w:rPr>
        <w:t>允许投标人按实际交货时间填写,评标时交货期作为重要参考依据</w:t>
      </w:r>
      <w:r>
        <w:rPr>
          <w:rFonts w:hint="eastAsia" w:ascii="方正仿宋简体" w:hAnsi="方正仿宋简体" w:eastAsia="方正仿宋简体" w:cs="方正仿宋简体"/>
          <w:kern w:val="1"/>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rPr>
        <w:t>交货地点：</w:t>
      </w:r>
      <w:r>
        <w:rPr>
          <w:rFonts w:hint="eastAsia" w:ascii="方正仿宋简体" w:hAnsi="方正仿宋简体" w:eastAsia="方正仿宋简体" w:cs="方正仿宋简体"/>
          <w:sz w:val="32"/>
          <w:szCs w:val="32"/>
          <w:u w:val="single"/>
        </w:rPr>
        <w:t xml:space="preserve"> 海纳川仓库 </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投标截止时间：</w:t>
      </w:r>
      <w:r>
        <w:rPr>
          <w:rFonts w:hint="eastAsia" w:ascii="方正仿宋简体" w:hAnsi="方正仿宋简体" w:eastAsia="方正仿宋简体" w:cs="方正仿宋简体"/>
          <w:sz w:val="30"/>
          <w:szCs w:val="30"/>
          <w:u w:val="single"/>
          <w:lang w:val="en-US" w:eastAsia="zh-CN"/>
        </w:rPr>
        <w:t>2023年10月20日下午1点40分</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初定开标时间：</w:t>
      </w:r>
      <w:r>
        <w:rPr>
          <w:rFonts w:hint="eastAsia" w:ascii="方正仿宋简体" w:hAnsi="方正仿宋简体" w:eastAsia="方正仿宋简体" w:cs="方正仿宋简体"/>
          <w:sz w:val="30"/>
          <w:szCs w:val="30"/>
          <w:u w:val="single"/>
          <w:lang w:val="en-US" w:eastAsia="zh-CN"/>
        </w:rPr>
        <w:t>2023年10月20日下午1点40分</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开标地点：</w:t>
      </w:r>
      <w:r>
        <w:rPr>
          <w:rFonts w:hint="eastAsia" w:ascii="方正仿宋简体" w:hAnsi="方正仿宋简体" w:eastAsia="方正仿宋简体" w:cs="方正仿宋简体"/>
          <w:sz w:val="32"/>
          <w:szCs w:val="32"/>
          <w:u w:val="single"/>
        </w:rPr>
        <w:t>镇江海纳川物流产业发展有限责任公司210开标室</w:t>
      </w:r>
      <w:r>
        <w:rPr>
          <w:rFonts w:hint="eastAsia" w:ascii="方正仿宋简体" w:hAnsi="方正仿宋简体" w:eastAsia="方正仿宋简体" w:cs="方正仿宋简体"/>
          <w:sz w:val="32"/>
          <w:szCs w:val="32"/>
        </w:rPr>
        <w:t>；</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中标公示：中标信息将于开标后在海纳川官网公示，请各投标人登录</w:t>
      </w:r>
      <w:r>
        <w:rPr>
          <w:rFonts w:hint="eastAsia" w:ascii="方正仿宋简体" w:hAnsi="方正仿宋简体" w:eastAsia="方正仿宋简体" w:cs="方正仿宋简体"/>
          <w:bCs/>
          <w:sz w:val="32"/>
          <w:szCs w:val="32"/>
        </w:rPr>
        <w:t>http://www.zjshnc.com</w:t>
      </w:r>
      <w:r>
        <w:rPr>
          <w:rFonts w:hint="eastAsia" w:ascii="方正仿宋简体" w:hAnsi="方正仿宋简体" w:eastAsia="方正仿宋简体" w:cs="方正仿宋简体"/>
          <w:sz w:val="32"/>
          <w:szCs w:val="32"/>
        </w:rPr>
        <w:t>查询。</w:t>
      </w:r>
    </w:p>
    <w:p>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p>
    <w:p>
      <w:pPr>
        <w:pStyle w:val="2"/>
        <w:ind w:firstLine="640" w:firstLineChars="200"/>
        <w:jc w:val="both"/>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1.货物清单(详见：</w:t>
      </w:r>
      <w:r>
        <w:rPr>
          <w:rFonts w:hint="eastAsia" w:ascii="方正仿宋简体" w:hAnsi="方正仿宋简体" w:eastAsia="方正仿宋简体" w:cs="方正仿宋简体"/>
          <w:b/>
          <w:bCs/>
          <w:sz w:val="32"/>
          <w:szCs w:val="32"/>
        </w:rPr>
        <w:t>报价函</w:t>
      </w:r>
      <w:r>
        <w:rPr>
          <w:rFonts w:hint="eastAsia" w:ascii="方正仿宋简体" w:hAnsi="方正仿宋简体" w:eastAsia="方正仿宋简体" w:cs="方正仿宋简体"/>
          <w:bCs/>
          <w:sz w:val="32"/>
          <w:szCs w:val="32"/>
        </w:rPr>
        <w:t>)　</w:t>
      </w:r>
    </w:p>
    <w:p>
      <w:pPr>
        <w:spacing w:line="360" w:lineRule="auto"/>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 xml:space="preserve">    2.技术要求</w:t>
      </w:r>
    </w:p>
    <w:p>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2.1投标方必须严格按照我公司招标文件中要求报价供货，所供产品必须符合相应国家或行业有关技术标准和安全规范要求，不符合标书要求的按</w:t>
      </w:r>
      <w:r>
        <w:rPr>
          <w:rFonts w:hint="eastAsia" w:ascii="方正仿宋简体" w:hAnsi="方正仿宋简体" w:eastAsia="方正仿宋简体" w:cs="方正仿宋简体"/>
          <w:bCs/>
          <w:color w:val="FF0000"/>
          <w:kern w:val="1"/>
          <w:sz w:val="32"/>
          <w:szCs w:val="32"/>
        </w:rPr>
        <w:t>废标</w:t>
      </w:r>
      <w:r>
        <w:rPr>
          <w:rFonts w:hint="eastAsia" w:ascii="方正仿宋简体" w:hAnsi="方正仿宋简体" w:eastAsia="方正仿宋简体" w:cs="方正仿宋简体"/>
          <w:kern w:val="1"/>
          <w:sz w:val="32"/>
          <w:szCs w:val="32"/>
        </w:rPr>
        <w:t>处理。</w:t>
      </w:r>
    </w:p>
    <w:p>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2.2投标人需满足橡胶护舷技术规格书要求，否则，按</w:t>
      </w:r>
      <w:r>
        <w:rPr>
          <w:rFonts w:hint="eastAsia" w:ascii="方正仿宋简体" w:hAnsi="方正仿宋简体" w:eastAsia="方正仿宋简体" w:cs="方正仿宋简体"/>
          <w:b/>
          <w:color w:val="FF0000"/>
          <w:kern w:val="1"/>
          <w:sz w:val="32"/>
          <w:szCs w:val="32"/>
        </w:rPr>
        <w:t>废标</w:t>
      </w:r>
      <w:r>
        <w:rPr>
          <w:rFonts w:hint="eastAsia" w:ascii="方正仿宋简体" w:hAnsi="方正仿宋简体" w:eastAsia="方正仿宋简体" w:cs="方正仿宋简体"/>
          <w:kern w:val="1"/>
          <w:sz w:val="32"/>
          <w:szCs w:val="32"/>
        </w:rPr>
        <w:t>处理。</w:t>
      </w:r>
    </w:p>
    <w:p>
      <w:pPr>
        <w:wordWrap w:val="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三、投标人资质与要求</w:t>
      </w:r>
      <w:r>
        <w:rPr>
          <w:rFonts w:hint="eastAsia" w:ascii="方正仿宋简体" w:hAnsi="方正仿宋简体" w:eastAsia="方正仿宋简体" w:cs="方正仿宋简体"/>
          <w:b/>
          <w:color w:val="FF0000"/>
          <w:kern w:val="1"/>
          <w:sz w:val="32"/>
          <w:szCs w:val="32"/>
        </w:rPr>
        <w:t>（未按要求作废标处理）</w:t>
      </w:r>
    </w:p>
    <w:p>
      <w:pPr>
        <w:spacing w:line="360" w:lineRule="auto"/>
        <w:ind w:firstLine="640" w:firstLineChars="200"/>
        <w:jc w:val="left"/>
        <w:rPr>
          <w:rFonts w:ascii="方正仿宋简体" w:hAnsi="方正仿宋简体" w:eastAsia="方正仿宋简体" w:cs="方正仿宋简体"/>
          <w:sz w:val="32"/>
          <w:szCs w:val="32"/>
          <w:u w:val="single"/>
        </w:rPr>
      </w:pPr>
      <w:r>
        <w:rPr>
          <w:rFonts w:hint="eastAsia" w:ascii="方正仿宋简体" w:hAnsi="仿宋_GB2312" w:eastAsia="方正仿宋简体" w:cs="仿宋_GB2312"/>
          <w:kern w:val="1"/>
          <w:sz w:val="32"/>
          <w:szCs w:val="32"/>
        </w:rPr>
        <w:t>1．</w:t>
      </w:r>
      <w:r>
        <w:rPr>
          <w:rFonts w:hint="eastAsia" w:ascii="方正仿宋简体" w:hAnsi="方正仿宋简体" w:eastAsia="方正仿宋简体" w:cs="方正仿宋简体"/>
          <w:sz w:val="32"/>
          <w:szCs w:val="32"/>
        </w:rPr>
        <w:t>投标时需提供的</w:t>
      </w:r>
      <w:r>
        <w:rPr>
          <w:rFonts w:hint="eastAsia" w:ascii="方正仿宋简体" w:hAnsi="方正仿宋简体" w:eastAsia="方正仿宋简体" w:cs="方正仿宋简体"/>
          <w:b/>
          <w:sz w:val="32"/>
          <w:szCs w:val="32"/>
        </w:rPr>
        <w:t>必备材料</w:t>
      </w:r>
      <w:r>
        <w:rPr>
          <w:rFonts w:hint="eastAsia" w:ascii="方正仿宋简体" w:hAnsi="方正仿宋简体" w:eastAsia="方正仿宋简体" w:cs="方正仿宋简体"/>
          <w:sz w:val="32"/>
          <w:szCs w:val="32"/>
          <w:u w:val="single"/>
        </w:rPr>
        <w:t>：</w:t>
      </w:r>
    </w:p>
    <w:p>
      <w:pPr>
        <w:spacing w:line="360" w:lineRule="auto"/>
        <w:ind w:firstLine="1120" w:firstLineChars="350"/>
        <w:jc w:val="left"/>
        <w:rPr>
          <w:rFonts w:ascii="方正仿宋简体" w:hAnsi="方正仿宋简体" w:eastAsia="方正仿宋简体" w:cs="方正仿宋简体"/>
          <w:kern w:val="1"/>
          <w:sz w:val="32"/>
          <w:szCs w:val="32"/>
          <w:u w:val="single"/>
        </w:rPr>
      </w:pPr>
      <w:r>
        <w:rPr>
          <w:rFonts w:hint="eastAsia" w:ascii="方正仿宋简体" w:hAnsi="方正仿宋简体" w:eastAsia="方正仿宋简体" w:cs="方正仿宋简体"/>
          <w:sz w:val="32"/>
          <w:szCs w:val="32"/>
          <w:u w:val="single"/>
        </w:rPr>
        <w:t>1)《营业执照》（复印件</w:t>
      </w:r>
      <w:r>
        <w:rPr>
          <w:rFonts w:hint="eastAsia" w:ascii="方正仿宋简体" w:hAnsi="方正仿宋简体" w:eastAsia="方正仿宋简体" w:cs="方正仿宋简体"/>
          <w:kern w:val="1"/>
          <w:sz w:val="32"/>
          <w:szCs w:val="32"/>
          <w:u w:val="single"/>
        </w:rPr>
        <w:t xml:space="preserve">需盖公章）、 </w:t>
      </w:r>
    </w:p>
    <w:p>
      <w:pPr>
        <w:spacing w:line="360" w:lineRule="auto"/>
        <w:ind w:firstLine="1120" w:firstLineChars="350"/>
        <w:jc w:val="left"/>
        <w:rPr>
          <w:rFonts w:ascii="方正仿宋简体" w:hAnsi="方正仿宋简体" w:eastAsia="方正仿宋简体" w:cs="方正仿宋简体"/>
          <w:kern w:val="1"/>
          <w:sz w:val="32"/>
          <w:szCs w:val="32"/>
          <w:u w:val="single"/>
        </w:rPr>
      </w:pPr>
      <w:r>
        <w:rPr>
          <w:rFonts w:hint="eastAsia" w:ascii="方正仿宋简体" w:hAnsi="方正仿宋简体" w:eastAsia="方正仿宋简体" w:cs="方正仿宋简体"/>
          <w:kern w:val="1"/>
          <w:sz w:val="32"/>
          <w:szCs w:val="32"/>
          <w:u w:val="single"/>
        </w:rPr>
        <w:t>2)</w:t>
      </w:r>
      <w:r>
        <w:rPr>
          <w:rFonts w:hint="eastAsia" w:ascii="方正仿宋简体" w:hAnsi="方正仿宋简体" w:eastAsia="方正仿宋简体" w:cs="方正仿宋简体"/>
          <w:sz w:val="32"/>
          <w:szCs w:val="32"/>
          <w:u w:val="single"/>
        </w:rPr>
        <w:t>报价函（</w:t>
      </w:r>
      <w:r>
        <w:rPr>
          <w:rFonts w:hint="eastAsia" w:ascii="方正仿宋简体" w:hAnsi="方正仿宋简体" w:eastAsia="方正仿宋简体" w:cs="方正仿宋简体"/>
          <w:kern w:val="1"/>
          <w:sz w:val="32"/>
          <w:szCs w:val="32"/>
          <w:u w:val="single"/>
        </w:rPr>
        <w:t>需盖公章,签字处需手签，打印无效）。</w:t>
      </w:r>
    </w:p>
    <w:p>
      <w:pPr>
        <w:pStyle w:val="4"/>
        <w:spacing w:after="0" w:line="600" w:lineRule="exact"/>
        <w:ind w:firstLine="640" w:firstLineChars="200"/>
        <w:rPr>
          <w:rFonts w:ascii="方正仿宋简体" w:hAnsi="方正仿宋简体" w:eastAsia="方正仿宋简体" w:cs="方正仿宋简体"/>
          <w:bCs/>
          <w:color w:val="FF0000"/>
          <w:sz w:val="30"/>
          <w:szCs w:val="30"/>
        </w:rPr>
      </w:pPr>
      <w:r>
        <w:rPr>
          <w:rFonts w:hint="eastAsia" w:ascii="方正仿宋简体" w:hAnsi="方正仿宋简体" w:eastAsia="方正仿宋简体" w:cs="方正仿宋简体"/>
          <w:bCs/>
          <w:kern w:val="1"/>
          <w:sz w:val="32"/>
          <w:szCs w:val="32"/>
        </w:rPr>
        <w:t>2.</w:t>
      </w:r>
      <w:r>
        <w:rPr>
          <w:rFonts w:hint="eastAsia" w:ascii="方正仿宋简体" w:hAnsi="方正仿宋简体" w:eastAsia="方正仿宋简体" w:cs="方正仿宋简体"/>
          <w:bCs/>
          <w:color w:val="FF0000"/>
          <w:sz w:val="30"/>
          <w:szCs w:val="30"/>
        </w:rPr>
        <w:t>不接受被列入失信被执行人、重大违法案件当事人投标；</w:t>
      </w:r>
    </w:p>
    <w:p>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w:t>
      </w:r>
      <w:r>
        <w:rPr>
          <w:rFonts w:hint="eastAsia" w:ascii="方正仿宋简体" w:hAnsi="方正仿宋简体" w:eastAsia="方正仿宋简体" w:cs="方正仿宋简体"/>
          <w:bCs/>
          <w:kern w:val="1"/>
          <w:sz w:val="32"/>
          <w:szCs w:val="32"/>
        </w:rPr>
        <w:t>投标人应</w:t>
      </w:r>
      <w:r>
        <w:rPr>
          <w:rFonts w:hint="eastAsia" w:ascii="方正仿宋简体" w:hAnsi="方正仿宋简体" w:eastAsia="方正仿宋简体" w:cs="方正仿宋简体"/>
          <w:bCs/>
          <w:sz w:val="32"/>
          <w:szCs w:val="32"/>
        </w:rPr>
        <w:t>具备良好的售后服务能力，要求电话联系后</w:t>
      </w:r>
    </w:p>
    <w:p>
      <w:pPr>
        <w:adjustRightInd w:val="0"/>
        <w:snapToGrid w:val="0"/>
        <w:spacing w:line="600" w:lineRule="exac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u w:val="single"/>
        </w:rPr>
        <w:t xml:space="preserve"> 24小时 </w:t>
      </w:r>
      <w:r>
        <w:rPr>
          <w:rFonts w:hint="eastAsia" w:ascii="方正仿宋简体" w:hAnsi="方正仿宋简体" w:eastAsia="方正仿宋简体" w:cs="方正仿宋简体"/>
          <w:bCs/>
          <w:sz w:val="32"/>
          <w:szCs w:val="32"/>
        </w:rPr>
        <w:t>内必须给予回复，明确解决方案，</w:t>
      </w:r>
      <w:r>
        <w:rPr>
          <w:rFonts w:hint="eastAsia" w:ascii="方正仿宋简体" w:hAnsi="方正仿宋简体" w:eastAsia="方正仿宋简体" w:cs="方正仿宋简体"/>
          <w:sz w:val="32"/>
          <w:szCs w:val="32"/>
        </w:rPr>
        <w:t>必要时需来我公司作技术指导</w:t>
      </w:r>
      <w:r>
        <w:rPr>
          <w:rFonts w:hint="eastAsia" w:ascii="方正仿宋简体" w:hAnsi="方正仿宋简体" w:eastAsia="方正仿宋简体" w:cs="方正仿宋简体"/>
          <w:bCs/>
          <w:sz w:val="32"/>
          <w:szCs w:val="32"/>
        </w:rPr>
        <w:t>；</w:t>
      </w:r>
    </w:p>
    <w:p>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kern w:val="1"/>
          <w:sz w:val="32"/>
          <w:szCs w:val="32"/>
        </w:rPr>
        <w:t>4.</w:t>
      </w:r>
      <w:r>
        <w:rPr>
          <w:rFonts w:hint="eastAsia" w:ascii="方正仿宋简体" w:hAnsi="方正仿宋简体" w:eastAsia="方正仿宋简体" w:cs="方正仿宋简体"/>
          <w:bCs/>
          <w:sz w:val="32"/>
          <w:szCs w:val="32"/>
        </w:rPr>
        <w:t>投标人所供产品引起的知识产权方面的纠纷，由投标人承担一切后果，招标人不承担任何责任。</w:t>
      </w:r>
    </w:p>
    <w:p>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5.中标单位发货前需通知招标方验货，招标方根据需求选择验货方式和地点。</w:t>
      </w:r>
    </w:p>
    <w:p>
      <w:pPr>
        <w:pStyle w:val="5"/>
        <w:spacing w:line="600" w:lineRule="exact"/>
        <w:ind w:firstLine="640" w:firstLineChars="200"/>
        <w:rPr>
          <w:rFonts w:ascii="方正仿宋简体" w:hAnsi="方正仿宋简体" w:eastAsia="方正仿宋简体" w:cs="方正仿宋简体"/>
          <w:bCs/>
          <w:sz w:val="32"/>
          <w:szCs w:val="32"/>
        </w:rPr>
      </w:pPr>
      <w:r>
        <w:rPr>
          <w:rFonts w:hint="eastAsia" w:ascii="方正黑体_GBK" w:hAnsi="方正黑体_GBK" w:eastAsia="方正黑体_GBK" w:cs="方正黑体_GBK"/>
          <w:kern w:val="2"/>
          <w:sz w:val="32"/>
          <w:szCs w:val="32"/>
        </w:rPr>
        <w:t>四、投标</w:t>
      </w:r>
    </w:p>
    <w:p>
      <w:pPr>
        <w:pStyle w:val="5"/>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报价为含增值税送到价。如国家税率调整，按合同含税价格/（1+合同约定税率）*（1+国家规定的新税率）调整合同价格开具发票；</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kern w:val="1"/>
          <w:sz w:val="32"/>
          <w:szCs w:val="32"/>
          <w:u w:val="single"/>
        </w:rPr>
        <w:t>买受人自收到标的物验收合格并且收到出卖人开具的增值税发票后</w:t>
      </w:r>
      <w:r>
        <w:rPr>
          <w:rFonts w:hint="eastAsia" w:ascii="方正仿宋简体" w:hAnsi="方正仿宋简体" w:eastAsia="方正仿宋简体" w:cs="方正仿宋简体"/>
          <w:b/>
          <w:kern w:val="1"/>
          <w:sz w:val="32"/>
          <w:szCs w:val="32"/>
          <w:u w:val="single"/>
        </w:rPr>
        <w:t>60日内以银行承兑</w:t>
      </w:r>
      <w:r>
        <w:rPr>
          <w:rFonts w:hint="eastAsia" w:ascii="方正仿宋简体" w:hAnsi="方正仿宋简体" w:eastAsia="方正仿宋简体" w:cs="方正仿宋简体"/>
          <w:kern w:val="1"/>
          <w:sz w:val="32"/>
          <w:szCs w:val="32"/>
          <w:u w:val="single"/>
        </w:rPr>
        <w:t>方式付款，本次招标</w:t>
      </w:r>
      <w:r>
        <w:rPr>
          <w:rFonts w:hint="eastAsia" w:ascii="方正仿宋简体" w:hAnsi="方正仿宋简体" w:eastAsia="方正仿宋简体" w:cs="方正仿宋简体"/>
          <w:b/>
          <w:color w:val="FF0000"/>
          <w:kern w:val="1"/>
          <w:sz w:val="32"/>
          <w:szCs w:val="32"/>
          <w:u w:val="single"/>
        </w:rPr>
        <w:t>不接受</w:t>
      </w:r>
      <w:r>
        <w:rPr>
          <w:rFonts w:hint="eastAsia" w:ascii="方正仿宋简体" w:hAnsi="方正仿宋简体" w:eastAsia="方正仿宋简体" w:cs="方正仿宋简体"/>
          <w:b/>
          <w:kern w:val="1"/>
          <w:sz w:val="32"/>
          <w:szCs w:val="32"/>
          <w:u w:val="single"/>
        </w:rPr>
        <w:t>款到发货</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如投标人不接受招标人提出的付款方式，可在报价书中明确能够接受的付款方式及付款时间，评标时作为参考。报价为含税价，请注明税率。</w:t>
      </w:r>
      <w:r>
        <w:rPr>
          <w:rFonts w:hint="eastAsia" w:ascii="方正仿宋简体" w:hAnsi="方正仿宋简体" w:eastAsia="方正仿宋简体" w:cs="方正仿宋简体"/>
          <w:bCs/>
          <w:kern w:val="1"/>
          <w:sz w:val="32"/>
          <w:szCs w:val="32"/>
        </w:rPr>
        <w:t>）</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本项目投标可通过线上和线下两种方式进行：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1.采用线上投标需严格按照1688线上格式要求填写报价，同时上传招标文件中所规定的</w:t>
      </w:r>
      <w:r>
        <w:rPr>
          <w:rFonts w:hint="eastAsia" w:ascii="方正仿宋简体" w:hAnsi="方正仿宋简体" w:eastAsia="方正仿宋简体" w:cs="方正仿宋简体"/>
          <w:b/>
          <w:sz w:val="32"/>
          <w:szCs w:val="32"/>
        </w:rPr>
        <w:t>必备</w:t>
      </w:r>
      <w:r>
        <w:rPr>
          <w:rFonts w:hint="eastAsia" w:ascii="方正仿宋简体" w:hAnsi="方正仿宋简体" w:eastAsia="方正仿宋简体" w:cs="方正仿宋简体"/>
          <w:b/>
          <w:bCs/>
          <w:kern w:val="1"/>
          <w:sz w:val="32"/>
          <w:szCs w:val="32"/>
        </w:rPr>
        <w:t>材料</w:t>
      </w:r>
      <w:r>
        <w:rPr>
          <w:rFonts w:hint="eastAsia" w:ascii="方正仿宋简体" w:hAnsi="方正仿宋简体" w:eastAsia="方正仿宋简体" w:cs="方正仿宋简体"/>
          <w:bCs/>
          <w:color w:val="FF0000"/>
          <w:kern w:val="1"/>
          <w:sz w:val="32"/>
          <w:szCs w:val="32"/>
        </w:rPr>
        <w:t>（加盖公章）</w:t>
      </w:r>
      <w:r>
        <w:rPr>
          <w:rFonts w:hint="eastAsia" w:ascii="方正仿宋简体" w:hAnsi="方正仿宋简体" w:eastAsia="方正仿宋简体" w:cs="方正仿宋简体"/>
          <w:bCs/>
          <w:kern w:val="1"/>
          <w:sz w:val="32"/>
          <w:szCs w:val="32"/>
        </w:rPr>
        <w:t>。</w:t>
      </w:r>
    </w:p>
    <w:p>
      <w:pPr>
        <w:wordWrap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Cs/>
          <w:kern w:val="1"/>
          <w:sz w:val="32"/>
          <w:szCs w:val="32"/>
        </w:rPr>
        <w:t>2.采用线下投标应</w:t>
      </w:r>
      <w:r>
        <w:rPr>
          <w:rFonts w:hint="eastAsia" w:ascii="方正仿宋简体" w:hAnsi="方正仿宋简体" w:eastAsia="方正仿宋简体" w:cs="方正仿宋简体"/>
          <w:bCs/>
          <w:sz w:val="32"/>
          <w:szCs w:val="32"/>
        </w:rPr>
        <w:t>将报价书及相关资料以标袋形式送达，标袋外包装必须用“封条”密封，封条“格式自定”，另需加盖公章、法人章，填写密封日期；在标袋封面上需注明“投标项目名称，投标方名称、地址、联系人、联系电话”等；</w:t>
      </w:r>
      <w:r>
        <w:rPr>
          <w:rFonts w:hint="eastAsia" w:ascii="方正仿宋简体" w:hAnsi="方正仿宋简体" w:eastAsia="方正仿宋简体" w:cs="方正仿宋简体"/>
          <w:kern w:val="1"/>
          <w:sz w:val="32"/>
          <w:szCs w:val="32"/>
        </w:rPr>
        <w:t>并要求在投标截止日之前送达，逾期将作为作</w:t>
      </w:r>
      <w:r>
        <w:rPr>
          <w:rFonts w:hint="eastAsia" w:ascii="方正仿宋简体" w:hAnsi="方正仿宋简体" w:eastAsia="方正仿宋简体" w:cs="方正仿宋简体"/>
          <w:b/>
          <w:color w:val="FF0000"/>
          <w:kern w:val="1"/>
          <w:sz w:val="32"/>
          <w:szCs w:val="32"/>
        </w:rPr>
        <w:t>废标</w:t>
      </w:r>
      <w:r>
        <w:rPr>
          <w:rFonts w:hint="eastAsia" w:ascii="方正仿宋简体" w:hAnsi="方正仿宋简体" w:eastAsia="方正仿宋简体" w:cs="方正仿宋简体"/>
          <w:kern w:val="1"/>
          <w:sz w:val="32"/>
          <w:szCs w:val="32"/>
        </w:rPr>
        <w:t>处理。</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kern w:val="1"/>
          <w:sz w:val="32"/>
          <w:szCs w:val="32"/>
        </w:rPr>
        <w:t>（四）</w:t>
      </w:r>
      <w:r>
        <w:rPr>
          <w:rFonts w:hint="eastAsia" w:ascii="方正仿宋简体" w:hAnsi="方正仿宋简体" w:eastAsia="方正仿宋简体" w:cs="方正仿宋简体"/>
          <w:kern w:val="1"/>
          <w:sz w:val="32"/>
          <w:szCs w:val="32"/>
        </w:rPr>
        <w:t>具体报价格式见</w:t>
      </w:r>
      <w:r>
        <w:rPr>
          <w:rFonts w:hint="eastAsia" w:ascii="方正仿宋简体" w:hAnsi="方正仿宋简体" w:eastAsia="方正仿宋简体" w:cs="方正仿宋简体"/>
          <w:b/>
          <w:kern w:val="1"/>
          <w:sz w:val="32"/>
          <w:szCs w:val="32"/>
        </w:rPr>
        <w:t>报价函</w:t>
      </w:r>
      <w:r>
        <w:rPr>
          <w:rFonts w:hint="eastAsia" w:ascii="方正仿宋简体" w:hAnsi="方正仿宋简体" w:eastAsia="方正仿宋简体" w:cs="方正仿宋简体"/>
          <w:kern w:val="1"/>
          <w:sz w:val="32"/>
          <w:szCs w:val="32"/>
        </w:rPr>
        <w:t>，报价文件需提供</w:t>
      </w:r>
      <w:r>
        <w:rPr>
          <w:rFonts w:hint="eastAsia" w:ascii="方正仿宋简体" w:hAnsi="方正仿宋简体" w:eastAsia="方正仿宋简体" w:cs="方正仿宋简体"/>
          <w:color w:val="FF0000"/>
          <w:kern w:val="1"/>
          <w:sz w:val="32"/>
          <w:szCs w:val="32"/>
          <w:u w:val="single"/>
        </w:rPr>
        <w:t xml:space="preserve"> 1 </w:t>
      </w:r>
      <w:r>
        <w:rPr>
          <w:rFonts w:hint="eastAsia" w:ascii="方正仿宋简体" w:hAnsi="方正仿宋简体" w:eastAsia="方正仿宋简体" w:cs="方正仿宋简体"/>
          <w:kern w:val="1"/>
          <w:sz w:val="32"/>
          <w:szCs w:val="32"/>
        </w:rPr>
        <w:t>份；</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采用线下投标的，投标文件请密封邮寄：</w:t>
      </w:r>
    </w:p>
    <w:p>
      <w:pPr>
        <w:pStyle w:val="1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镇江海纳川物流产业发展有限责任公司风险控制部</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收件人：邵蕾</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联系电话：15050893302</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凡对招标文件条款有疑义的，请在开标前按以下方式联系：</w:t>
      </w:r>
    </w:p>
    <w:p>
      <w:pPr>
        <w:pStyle w:val="1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pPr>
        <w:adjustRightInd w:val="0"/>
        <w:snapToGrid w:val="0"/>
        <w:spacing w:line="600" w:lineRule="exact"/>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xml:space="preserve">    地址：江苏省镇江市京口区求索路66号，邮编：212006</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招标业务联系人：邵蕾     电话：15050893302</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技术部门联系人：周祥生   电话：13861358963</w:t>
      </w:r>
      <w:r>
        <w:rPr>
          <w:rFonts w:hint="eastAsia" w:ascii="方正仿宋简体" w:hAnsi="方正仿宋简体" w:eastAsia="方正仿宋简体" w:cs="方正仿宋简体"/>
          <w:bCs/>
          <w:color w:val="FF0000"/>
          <w:kern w:val="1"/>
          <w:sz w:val="32"/>
          <w:szCs w:val="32"/>
        </w:rPr>
        <w:t xml:space="preserve"> </w:t>
      </w:r>
    </w:p>
    <w:p>
      <w:pPr>
        <w:pStyle w:val="5"/>
        <w:numPr>
          <w:ilvl w:val="0"/>
          <w:numId w:val="1"/>
        </w:numPr>
        <w:spacing w:line="600" w:lineRule="exact"/>
        <w:ind w:firstLine="640" w:firstLineChars="200"/>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开标、评标及废标：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2.评标小组不得泄露各投标人的报价。   </w:t>
      </w:r>
    </w:p>
    <w:p>
      <w:pPr>
        <w:spacing w:line="360" w:lineRule="auto"/>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采取综合评审方法进行打分，具体按价格得分、技术得分、商务得分（得分比例根据货物内容确定）三个方面进行评审，并按综合得分由高到低顺序推选一名中标候选人。</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color w:val="FF0000"/>
          <w:sz w:val="32"/>
          <w:szCs w:val="32"/>
        </w:rPr>
        <w:t>本次采用该种评标方式</w:t>
      </w:r>
      <w:r>
        <w:rPr>
          <w:rFonts w:hint="eastAsia" w:ascii="方正仿宋简体" w:hAnsi="方正仿宋简体" w:eastAsia="方正仿宋简体" w:cs="方正仿宋简体"/>
          <w:sz w:val="32"/>
          <w:szCs w:val="32"/>
        </w:rPr>
        <w:t>）</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（1）在能够满足招标人技术要求及供货期要求的投标人中选择总投标价最低的一家投标人作为中标候选人。</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（2）同等价格下，质量指标、售后服务更好的为中标候选人。</w:t>
      </w:r>
    </w:p>
    <w:p>
      <w:pPr>
        <w:spacing w:line="360" w:lineRule="auto"/>
        <w:ind w:firstLine="640" w:firstLineChars="20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（3）</w:t>
      </w:r>
      <w:r>
        <w:rPr>
          <w:rFonts w:hint="eastAsia" w:ascii="方正仿宋简体" w:hAnsi="方正仿宋简体" w:eastAsia="方正仿宋简体" w:cs="方正仿宋简体"/>
          <w:bCs/>
          <w:kern w:val="1"/>
          <w:sz w:val="30"/>
          <w:szCs w:val="30"/>
        </w:rPr>
        <w:t>同等价格、同等质量下，现有供应方为中标候选人。</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1.招标人如发现招标过程中有串标、陪标等扰乱招标人经营秩序的恶劣情况，经招标人评标小组评定可作废标处理，并可将相关投标方列入供应商负面清单，一年内不再接受参与投标工作。</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，或投标文件填写不完整、报价有空项的，或不符合技术要求条款的，或者存在其他不符合招标人有关要求的问题，经招标人评标小组评定，可作废标处理。</w:t>
      </w:r>
    </w:p>
    <w:p>
      <w:pPr>
        <w:pStyle w:val="5"/>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r>
        <w:rPr>
          <w:rFonts w:ascii="方正仿宋简体" w:hAnsi="方正仿宋简体" w:eastAsia="方正仿宋简体" w:cs="方正仿宋简体"/>
          <w:bCs/>
          <w:color w:val="FF0000"/>
          <w:kern w:val="1"/>
          <w:sz w:val="32"/>
          <w:szCs w:val="32"/>
        </w:rPr>
        <w:t xml:space="preserve"> </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中标人应严格按照标书约定与招标方签定供需合同，并按合同约定做好物资供应和服务工作。对中标人所有违背标书及合同约定的行为，招标人均可持续保留与中标方中止合作的一切权利。　</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对需检验的品种，经招标人检验部门检验合格后方能收货，否则做退、换货处理；长期合约的中标人如出现三次产品质量不合格的情况，视为中标人无能力保障产品质量，招标人有权终止此次招标合同的执行。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对不合格货品招标人应及时通知中标人，如有异议双方可协商解决；如需仲裁，应按合同约定在规定时间内按《产品质量仲裁检验和产品质量鉴定管理办法》执行。仲裁期间中标人应保证招标人供应，不影响招标人正常生产运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如因投标人不能正常履约，对招标人生产经营活动造成影响的，招标人可向阿里巴巴公司投诉；如严重影响招标人生产经营活动的，招标人将依法追究投标方法律责任。</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投标人在中标后无正当理由不与招标人签订合同的，将承担违约责任，列入招标人供应商负面清单；若为阿里巴巴平台投标，同时招标人将向阿里巴巴进行投诉。</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投标人应详细阅读本招标书，参与报价投标即视为对本招标书所列之条款均表示接受。</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（七）</w:t>
      </w:r>
      <w:r>
        <w:rPr>
          <w:rFonts w:hint="eastAsia" w:ascii="方正仿宋简体" w:hAnsi="方正仿宋简体" w:eastAsia="方正仿宋简体" w:cs="方正仿宋简体"/>
          <w:bCs/>
          <w:kern w:val="1"/>
          <w:sz w:val="32"/>
          <w:szCs w:val="32"/>
        </w:rPr>
        <w:t>招标人对违反约定的投标人或中标人将按《镇江海纳川物流产业发展有限责任公司招标采购管理规定》中供应商管理对投标人进行管理考核（详见附件1）。</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（八）</w:t>
      </w:r>
      <w:r>
        <w:rPr>
          <w:rFonts w:hint="eastAsia" w:ascii="方正仿宋简体" w:hAnsi="方正仿宋简体" w:eastAsia="方正仿宋简体" w:cs="方正仿宋简体"/>
          <w:bCs/>
          <w:kern w:val="1"/>
          <w:sz w:val="32"/>
          <w:szCs w:val="32"/>
        </w:rPr>
        <w:t>外协作业人员需先进行安全教育培训。</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（九）</w:t>
      </w:r>
      <w:r>
        <w:rPr>
          <w:rFonts w:hint="eastAsia" w:ascii="方正仿宋简体" w:hAnsi="方正仿宋简体" w:eastAsia="方正仿宋简体" w:cs="方正仿宋简体"/>
          <w:bCs/>
          <w:kern w:val="1"/>
          <w:sz w:val="32"/>
          <w:szCs w:val="32"/>
        </w:rPr>
        <w:t>本次招标为企业自主公开招标，属生产经营性商务行为，解释权归镇江海纳川物流产业发展有限责任公司所有。</w:t>
      </w:r>
    </w:p>
    <w:p>
      <w:pPr>
        <w:pStyle w:val="4"/>
        <w:spacing w:after="0" w:line="600" w:lineRule="exac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w:t>
      </w: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5"/>
        <w:rPr>
          <w:rFonts w:ascii="方正仿宋简体" w:hAnsi="方正仿宋简体" w:eastAsia="方正仿宋简体" w:cs="方正仿宋简体"/>
          <w:bCs/>
          <w:kern w:val="1"/>
          <w:sz w:val="32"/>
          <w:szCs w:val="32"/>
        </w:rPr>
      </w:pPr>
    </w:p>
    <w:p>
      <w:pPr>
        <w:pStyle w:val="2"/>
        <w:rPr>
          <w:rFonts w:ascii="方正小标宋简体" w:hAnsi="方正小标宋简体" w:eastAsia="方正小标宋简体" w:cs="方正小标宋简体"/>
          <w:szCs w:val="44"/>
        </w:rPr>
      </w:pPr>
      <w:r>
        <w:rPr>
          <w:rFonts w:hint="eastAsia" w:ascii="方正小标宋简体" w:hAnsi="方正小标宋简体" w:eastAsia="方正小标宋简体" w:cs="方正小标宋简体"/>
          <w:szCs w:val="44"/>
        </w:rPr>
        <w:t>报价函</w:t>
      </w:r>
    </w:p>
    <w:p>
      <w:pPr>
        <w:tabs>
          <w:tab w:val="left" w:pos="180"/>
        </w:tabs>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；授权全权代表姓名、职务、职称：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sz w:val="32"/>
          <w:szCs w:val="32"/>
        </w:rPr>
        <w:t>一.</w:t>
      </w:r>
      <w:r>
        <w:rPr>
          <w:rFonts w:hint="eastAsia" w:ascii="方正仿宋简体" w:hAnsi="方正仿宋简体" w:eastAsia="方正仿宋简体" w:cs="方正仿宋简体"/>
          <w:kern w:val="1"/>
          <w:sz w:val="32"/>
          <w:szCs w:val="32"/>
        </w:rPr>
        <w:t>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2"/>
        <w:tblW w:w="5679" w:type="pct"/>
        <w:tblInd w:w="-6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136"/>
        <w:gridCol w:w="1841"/>
        <w:gridCol w:w="2126"/>
        <w:gridCol w:w="709"/>
        <w:gridCol w:w="728"/>
        <w:gridCol w:w="993"/>
        <w:gridCol w:w="991"/>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241"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序号</w:t>
            </w:r>
          </w:p>
        </w:tc>
        <w:tc>
          <w:tcPr>
            <w:tcW w:w="587"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标的名称</w:t>
            </w:r>
          </w:p>
        </w:tc>
        <w:tc>
          <w:tcPr>
            <w:tcW w:w="951"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型号</w:t>
            </w:r>
          </w:p>
        </w:tc>
        <w:tc>
          <w:tcPr>
            <w:tcW w:w="1098"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规格</w:t>
            </w:r>
          </w:p>
        </w:tc>
        <w:tc>
          <w:tcPr>
            <w:tcW w:w="366"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单位</w:t>
            </w:r>
          </w:p>
        </w:tc>
        <w:tc>
          <w:tcPr>
            <w:tcW w:w="376"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数量</w:t>
            </w:r>
          </w:p>
        </w:tc>
        <w:tc>
          <w:tcPr>
            <w:tcW w:w="51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单价  （含税）</w:t>
            </w:r>
          </w:p>
        </w:tc>
        <w:tc>
          <w:tcPr>
            <w:tcW w:w="51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总价   （含税）</w:t>
            </w:r>
          </w:p>
        </w:tc>
        <w:tc>
          <w:tcPr>
            <w:tcW w:w="356"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41"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1</w:t>
            </w:r>
          </w:p>
        </w:tc>
        <w:tc>
          <w:tcPr>
            <w:tcW w:w="587" w:type="pct"/>
            <w:vAlign w:val="center"/>
          </w:tcPr>
          <w:p>
            <w:pPr>
              <w:rPr>
                <w:rFonts w:ascii="宋体" w:hAnsi="宋体" w:cs="宋体"/>
                <w:color w:val="000000"/>
                <w:szCs w:val="21"/>
              </w:rPr>
            </w:pPr>
            <w:r>
              <w:rPr>
                <w:rFonts w:hint="eastAsia"/>
                <w:color w:val="000000"/>
                <w:szCs w:val="21"/>
              </w:rPr>
              <w:t>橡胶护舷</w:t>
            </w:r>
          </w:p>
        </w:tc>
        <w:tc>
          <w:tcPr>
            <w:tcW w:w="951" w:type="pct"/>
            <w:vAlign w:val="center"/>
          </w:tcPr>
          <w:p>
            <w:pPr>
              <w:rPr>
                <w:rFonts w:ascii="宋体" w:hAnsi="宋体" w:cs="宋体"/>
                <w:color w:val="000000"/>
                <w:szCs w:val="21"/>
              </w:rPr>
            </w:pPr>
            <w:r>
              <w:rPr>
                <w:rFonts w:hint="eastAsia"/>
                <w:color w:val="000000"/>
                <w:szCs w:val="21"/>
              </w:rPr>
              <w:t>　GD300H-1500L</w:t>
            </w:r>
          </w:p>
        </w:tc>
        <w:tc>
          <w:tcPr>
            <w:tcW w:w="1098" w:type="pct"/>
            <w:vAlign w:val="center"/>
          </w:tcPr>
          <w:p>
            <w:pPr>
              <w:rPr>
                <w:rFonts w:ascii="宋体" w:hAnsi="宋体" w:cs="宋体"/>
                <w:color w:val="000000"/>
                <w:szCs w:val="21"/>
              </w:rPr>
            </w:pPr>
            <w:r>
              <w:rPr>
                <w:rFonts w:hint="eastAsia"/>
                <w:color w:val="000000"/>
                <w:szCs w:val="21"/>
              </w:rPr>
              <w:t>附技术规格说明书</w:t>
            </w:r>
          </w:p>
        </w:tc>
        <w:tc>
          <w:tcPr>
            <w:tcW w:w="366" w:type="pct"/>
            <w:vAlign w:val="center"/>
          </w:tcPr>
          <w:p>
            <w:pPr>
              <w:jc w:val="center"/>
              <w:rPr>
                <w:rFonts w:ascii="宋体" w:hAnsi="宋体" w:cs="宋体"/>
                <w:color w:val="000000"/>
                <w:szCs w:val="21"/>
              </w:rPr>
            </w:pPr>
            <w:r>
              <w:rPr>
                <w:rFonts w:hint="eastAsia"/>
                <w:color w:val="000000"/>
                <w:szCs w:val="21"/>
              </w:rPr>
              <w:t>套</w:t>
            </w:r>
          </w:p>
        </w:tc>
        <w:tc>
          <w:tcPr>
            <w:tcW w:w="376" w:type="pct"/>
            <w:vAlign w:val="center"/>
          </w:tcPr>
          <w:p>
            <w:pPr>
              <w:jc w:val="center"/>
              <w:rPr>
                <w:rFonts w:ascii="宋体" w:hAnsi="宋体" w:cs="宋体"/>
                <w:color w:val="000000"/>
                <w:szCs w:val="21"/>
              </w:rPr>
            </w:pPr>
            <w:r>
              <w:rPr>
                <w:rFonts w:hint="eastAsia"/>
                <w:color w:val="000000"/>
                <w:szCs w:val="21"/>
              </w:rPr>
              <w:t xml:space="preserve">6 </w:t>
            </w:r>
          </w:p>
        </w:tc>
        <w:tc>
          <w:tcPr>
            <w:tcW w:w="513" w:type="pct"/>
            <w:vAlign w:val="center"/>
          </w:tcPr>
          <w:p>
            <w:pPr>
              <w:widowControl/>
              <w:spacing w:line="0" w:lineRule="atLeast"/>
              <w:jc w:val="center"/>
              <w:rPr>
                <w:rFonts w:ascii="方正仿宋简体" w:hAnsi="方正仿宋简体" w:eastAsia="方正仿宋简体" w:cs="方正仿宋简体"/>
                <w:szCs w:val="21"/>
              </w:rPr>
            </w:pPr>
          </w:p>
        </w:tc>
        <w:tc>
          <w:tcPr>
            <w:tcW w:w="512" w:type="pct"/>
            <w:vAlign w:val="center"/>
          </w:tcPr>
          <w:p>
            <w:pPr>
              <w:widowControl/>
              <w:spacing w:line="0" w:lineRule="atLeast"/>
              <w:jc w:val="center"/>
              <w:rPr>
                <w:rFonts w:ascii="方正仿宋简体" w:hAnsi="方正仿宋简体" w:eastAsia="方正仿宋简体" w:cs="方正仿宋简体"/>
                <w:szCs w:val="21"/>
              </w:rPr>
            </w:pPr>
          </w:p>
        </w:tc>
        <w:tc>
          <w:tcPr>
            <w:tcW w:w="356" w:type="pct"/>
            <w:vAlign w:val="center"/>
          </w:tcPr>
          <w:p>
            <w:pPr>
              <w:widowControl/>
              <w:spacing w:line="0" w:lineRule="atLeast"/>
              <w:jc w:val="center"/>
              <w:rPr>
                <w:rFonts w:ascii="方正仿宋简体" w:hAnsi="方正仿宋简体" w:eastAsia="方正仿宋简体" w:cs="方正仿宋简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877" w:type="pct"/>
            <w:gridSpan w:val="4"/>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以上合计总价（大写）： </w:t>
            </w:r>
          </w:p>
        </w:tc>
        <w:tc>
          <w:tcPr>
            <w:tcW w:w="2123" w:type="pct"/>
            <w:gridSpan w:val="5"/>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小写：</w:t>
            </w:r>
          </w:p>
        </w:tc>
      </w:tr>
    </w:tbl>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1.在满足招标人使用要求前提下，以报价格式</w:t>
      </w:r>
      <w:r>
        <w:rPr>
          <w:rFonts w:hint="eastAsia" w:ascii="方正仿宋简体" w:hAnsi="方正仿宋简体" w:eastAsia="方正仿宋简体" w:cs="方正仿宋简体"/>
          <w:color w:val="FF0000"/>
          <w:sz w:val="32"/>
          <w:szCs w:val="32"/>
        </w:rPr>
        <w:t>总价</w:t>
      </w:r>
      <w:r>
        <w:rPr>
          <w:rFonts w:hint="eastAsia" w:ascii="方正仿宋简体" w:hAnsi="方正仿宋简体" w:eastAsia="方正仿宋简体" w:cs="方正仿宋简体"/>
          <w:sz w:val="32"/>
          <w:szCs w:val="32"/>
        </w:rPr>
        <w:t>作为总投标价，总投标价只为确定中标单位作依据。</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2.按报价格式进行填报，每格均需填报，无报价以斜线、横线或0填满。</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kern w:val="1"/>
          <w:sz w:val="32"/>
          <w:szCs w:val="32"/>
        </w:rPr>
        <w:t>三.交货时间：</w:t>
      </w:r>
      <w:r>
        <w:rPr>
          <w:rFonts w:hint="eastAsia" w:ascii="方正仿宋简体" w:hAnsi="方正仿宋简体" w:eastAsia="方正仿宋简体" w:cs="方正仿宋简体"/>
          <w:kern w:val="1"/>
          <w:sz w:val="32"/>
          <w:szCs w:val="32"/>
          <w:u w:val="single"/>
        </w:rPr>
        <w:t xml:space="preserve">               </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四.我方承诺遵守招标文件中的全部规定；</w:t>
      </w:r>
    </w:p>
    <w:p>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五.我方承诺中标后双方签订合同,并承担合同规定的责任义务；</w:t>
      </w:r>
    </w:p>
    <w:p>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sz w:val="32"/>
          <w:szCs w:val="32"/>
          <w:shd w:val="clear" w:color="auto" w:fill="FFFFFF"/>
        </w:rPr>
        <w:t>六.我方已详细审查全部招标文件，包括招标文件的补充文件（如有）。我方完全理解并同意放弃对这方面有不明及误解的权力，同时完全接受招标文件所有条款。如果招标文件有相互矛盾之处，我方同意按招标方的解释处理；</w:t>
      </w:r>
    </w:p>
    <w:p>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pPr>
        <w:pStyle w:val="4"/>
        <w:spacing w:after="0" w:line="600" w:lineRule="exact"/>
        <w:ind w:firstLine="640" w:firstLineChars="200"/>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八.投标单位其他说明情况：</w:t>
      </w:r>
      <w:r>
        <w:rPr>
          <w:rFonts w:hint="eastAsia" w:ascii="方正仿宋简体" w:hAnsi="方正仿宋简体" w:eastAsia="方正仿宋简体" w:cs="方正仿宋简体"/>
          <w:color w:val="000000"/>
          <w:kern w:val="1"/>
          <w:sz w:val="32"/>
          <w:szCs w:val="32"/>
          <w:u w:val="single"/>
        </w:rPr>
        <w:t xml:space="preserve">               </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全权代表（签字）：</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pPr>
        <w:spacing w:line="600" w:lineRule="exact"/>
        <w:jc w:val="left"/>
        <w:rPr>
          <w:rFonts w:ascii="方正仿宋简体" w:hAnsi="方正仿宋简体" w:eastAsia="方正仿宋简体" w:cs="方正仿宋简体"/>
          <w:kern w:val="1"/>
          <w:sz w:val="32"/>
          <w:szCs w:val="32"/>
        </w:rPr>
      </w:pPr>
    </w:p>
    <w:p>
      <w:pPr>
        <w:rPr>
          <w:sz w:val="32"/>
          <w:szCs w:val="32"/>
        </w:rPr>
      </w:pPr>
      <w:r>
        <w:rPr>
          <w:rFonts w:hint="eastAsia"/>
          <w:sz w:val="32"/>
          <w:szCs w:val="32"/>
        </w:rPr>
        <w:t>附橡胶护舷GD300H-1500L技术规格说明书</w:t>
      </w:r>
    </w:p>
    <w:p>
      <w:r>
        <w:rPr>
          <w:rFonts w:hint="eastAsia"/>
        </w:rPr>
        <w:drawing>
          <wp:inline distT="0" distB="0" distL="114300" distR="114300">
            <wp:extent cx="5269230" cy="4837430"/>
            <wp:effectExtent l="19050" t="0" r="7236" b="0"/>
            <wp:docPr id="8"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
                    <pic:cNvPicPr>
                      <a:picLocks noChangeAspect="1"/>
                    </pic:cNvPicPr>
                  </pic:nvPicPr>
                  <pic:blipFill>
                    <a:blip r:embed="rId6" cstate="print"/>
                    <a:stretch>
                      <a:fillRect/>
                    </a:stretch>
                  </pic:blipFill>
                  <pic:spPr>
                    <a:xfrm>
                      <a:off x="0" y="0"/>
                      <a:ext cx="5272405" cy="4840376"/>
                    </a:xfrm>
                    <a:prstGeom prst="rect">
                      <a:avLst/>
                    </a:prstGeom>
                  </pic:spPr>
                </pic:pic>
              </a:graphicData>
            </a:graphic>
          </wp:inline>
        </w:drawing>
      </w:r>
      <w:r>
        <w:rPr>
          <w:rFonts w:hint="eastAsia"/>
        </w:rPr>
        <w:drawing>
          <wp:inline distT="0" distB="0" distL="114300" distR="114300">
            <wp:extent cx="5267325" cy="8431530"/>
            <wp:effectExtent l="19050" t="0" r="9451" b="0"/>
            <wp:docPr id="9"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2"/>
                    <pic:cNvPicPr>
                      <a:picLocks noChangeAspect="1"/>
                    </pic:cNvPicPr>
                  </pic:nvPicPr>
                  <pic:blipFill>
                    <a:blip r:embed="rId7" cstate="print"/>
                    <a:stretch>
                      <a:fillRect/>
                    </a:stretch>
                  </pic:blipFill>
                  <pic:spPr>
                    <a:xfrm>
                      <a:off x="0" y="0"/>
                      <a:ext cx="5270500" cy="8436582"/>
                    </a:xfrm>
                    <a:prstGeom prst="rect">
                      <a:avLst/>
                    </a:prstGeom>
                  </pic:spPr>
                </pic:pic>
              </a:graphicData>
            </a:graphic>
          </wp:inline>
        </w:drawing>
      </w:r>
      <w:r>
        <w:rPr>
          <w:rFonts w:hint="eastAsia"/>
        </w:rPr>
        <w:drawing>
          <wp:inline distT="0" distB="0" distL="114300" distR="114300">
            <wp:extent cx="5269865" cy="7452995"/>
            <wp:effectExtent l="0" t="0" r="6985" b="14605"/>
            <wp:docPr id="10"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3"/>
                    <pic:cNvPicPr>
                      <a:picLocks noChangeAspect="1"/>
                    </pic:cNvPicPr>
                  </pic:nvPicPr>
                  <pic:blipFill>
                    <a:blip r:embed="rId8" cstate="print"/>
                    <a:stretch>
                      <a:fillRect/>
                    </a:stretch>
                  </pic:blipFill>
                  <pic:spPr>
                    <a:xfrm>
                      <a:off x="0" y="0"/>
                      <a:ext cx="5269865" cy="7452995"/>
                    </a:xfrm>
                    <a:prstGeom prst="rect">
                      <a:avLst/>
                    </a:prstGeom>
                  </pic:spPr>
                </pic:pic>
              </a:graphicData>
            </a:graphic>
          </wp:inline>
        </w:drawing>
      </w:r>
      <w:r>
        <w:rPr>
          <w:rFonts w:hint="eastAsia"/>
        </w:rPr>
        <w:drawing>
          <wp:inline distT="0" distB="0" distL="114300" distR="114300">
            <wp:extent cx="5264785" cy="8526780"/>
            <wp:effectExtent l="19050" t="0" r="0" b="0"/>
            <wp:docPr id="11"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4"/>
                    <pic:cNvPicPr>
                      <a:picLocks noChangeAspect="1"/>
                    </pic:cNvPicPr>
                  </pic:nvPicPr>
                  <pic:blipFill>
                    <a:blip r:embed="rId9" cstate="print"/>
                    <a:stretch>
                      <a:fillRect/>
                    </a:stretch>
                  </pic:blipFill>
                  <pic:spPr>
                    <a:xfrm>
                      <a:off x="0" y="0"/>
                      <a:ext cx="5269865" cy="8534653"/>
                    </a:xfrm>
                    <a:prstGeom prst="rect">
                      <a:avLst/>
                    </a:prstGeom>
                  </pic:spPr>
                </pic:pic>
              </a:graphicData>
            </a:graphic>
          </wp:inline>
        </w:drawing>
      </w:r>
      <w:r>
        <w:rPr>
          <w:rFonts w:hint="eastAsia"/>
        </w:rPr>
        <w:drawing>
          <wp:inline distT="0" distB="0" distL="114300" distR="114300">
            <wp:extent cx="5269865" cy="8399145"/>
            <wp:effectExtent l="19050" t="0" r="6911" b="0"/>
            <wp:docPr id="1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5"/>
                    <pic:cNvPicPr>
                      <a:picLocks noChangeAspect="1"/>
                    </pic:cNvPicPr>
                  </pic:nvPicPr>
                  <pic:blipFill>
                    <a:blip r:embed="rId10" cstate="print"/>
                    <a:stretch>
                      <a:fillRect/>
                    </a:stretch>
                  </pic:blipFill>
                  <pic:spPr>
                    <a:xfrm>
                      <a:off x="0" y="0"/>
                      <a:ext cx="5273040" cy="8404664"/>
                    </a:xfrm>
                    <a:prstGeom prst="rect">
                      <a:avLst/>
                    </a:prstGeom>
                  </pic:spPr>
                </pic:pic>
              </a:graphicData>
            </a:graphic>
          </wp:inline>
        </w:drawing>
      </w:r>
      <w:r>
        <w:rPr>
          <w:rFonts w:hint="eastAsia"/>
        </w:rPr>
        <w:drawing>
          <wp:inline distT="0" distB="0" distL="114300" distR="114300">
            <wp:extent cx="5265420" cy="8516620"/>
            <wp:effectExtent l="19050" t="0" r="0" b="0"/>
            <wp:docPr id="13"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6"/>
                    <pic:cNvPicPr>
                      <a:picLocks noChangeAspect="1"/>
                    </pic:cNvPicPr>
                  </pic:nvPicPr>
                  <pic:blipFill>
                    <a:blip r:embed="rId11" cstate="print"/>
                    <a:stretch>
                      <a:fillRect/>
                    </a:stretch>
                  </pic:blipFill>
                  <pic:spPr>
                    <a:xfrm>
                      <a:off x="0" y="0"/>
                      <a:ext cx="5268595" cy="8521695"/>
                    </a:xfrm>
                    <a:prstGeom prst="rect">
                      <a:avLst/>
                    </a:prstGeom>
                  </pic:spPr>
                </pic:pic>
              </a:graphicData>
            </a:graphic>
          </wp:inline>
        </w:drawing>
      </w:r>
    </w:p>
    <w:p/>
    <w:p>
      <w:pPr>
        <w:pStyle w:val="10"/>
        <w:adjustRightInd w:val="0"/>
        <w:snapToGrid w:val="0"/>
        <w:spacing w:before="0" w:after="0" w:line="600" w:lineRule="exact"/>
        <w:jc w:val="left"/>
        <w:rPr>
          <w:rFonts w:ascii="方正黑体_GBK" w:hAnsi="方正黑体_GBK" w:eastAsia="方正黑体_GBK" w:cs="方正黑体_GBK"/>
          <w:b w:val="0"/>
        </w:rPr>
      </w:pPr>
      <w:r>
        <w:rPr>
          <w:rFonts w:hint="eastAsia" w:ascii="方正仿宋简体" w:hAnsi="方正仿宋简体" w:eastAsia="方正仿宋简体" w:cs="方正仿宋简体"/>
          <w:kern w:val="1"/>
        </w:rPr>
        <w:t>附件1</w:t>
      </w:r>
    </w:p>
    <w:p>
      <w:pPr>
        <w:pStyle w:val="10"/>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 xml:space="preserve"> 供应商管理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风险控制部负责归口公司招投标负面清单，具体工作由海纳川各部室及直属单位共同承担。</w:t>
      </w: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pStyle w:val="4"/>
      </w:pP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numPr>
          <w:ilvl w:val="0"/>
          <w:numId w:val="2"/>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风险控制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现场施工人员不服从招标方安全管理的，考核5-10分。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pPr>
        <w:pStyle w:val="4"/>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pStyle w:val="4"/>
      </w:pPr>
    </w:p>
    <w:p>
      <w:pPr>
        <w:pStyle w:val="5"/>
      </w:pPr>
    </w:p>
    <w:p>
      <w:pPr>
        <w:pStyle w:val="5"/>
      </w:pPr>
    </w:p>
    <w:p>
      <w:pPr>
        <w:pStyle w:val="5"/>
      </w:pPr>
    </w:p>
    <w:p>
      <w:pPr>
        <w:pStyle w:val="5"/>
      </w:pPr>
    </w:p>
    <w:p>
      <w:pPr>
        <w:pStyle w:val="5"/>
      </w:pPr>
    </w:p>
    <w:p>
      <w:pPr>
        <w:pStyle w:val="5"/>
      </w:pPr>
    </w:p>
    <w:p>
      <w:pPr>
        <w:pStyle w:val="10"/>
        <w:adjustRightInd w:val="0"/>
        <w:snapToGrid w:val="0"/>
        <w:spacing w:before="0" w:after="0" w:line="600" w:lineRule="exact"/>
        <w:jc w:val="left"/>
        <w:rPr>
          <w:rFonts w:ascii="方正仿宋简体" w:hAnsi="方正仿宋简体" w:eastAsia="方正仿宋简体" w:cs="方正仿宋简体"/>
          <w:color w:val="000000"/>
        </w:rPr>
      </w:pPr>
      <w:r>
        <w:rPr>
          <w:rFonts w:hint="eastAsia" w:ascii="方正仿宋简体" w:hAnsi="方正仿宋简体" w:eastAsia="方正仿宋简体" w:cs="方正仿宋简体"/>
          <w:kern w:val="1"/>
        </w:rPr>
        <w:t>附件2：</w:t>
      </w:r>
      <w:r>
        <w:rPr>
          <w:rFonts w:ascii="方正仿宋简体" w:hAnsi="方正仿宋简体" w:eastAsia="方正仿宋简体" w:cs="方正仿宋简体"/>
          <w:color w:val="000000"/>
        </w:rPr>
        <w:t xml:space="preserve"> </w:t>
      </w:r>
    </w:p>
    <w:p>
      <w:pPr>
        <w:spacing w:line="600" w:lineRule="exact"/>
        <w:ind w:firstLine="883" w:firstLineChars="200"/>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产品买卖合同</w:t>
      </w:r>
    </w:p>
    <w:p>
      <w:pPr>
        <w:spacing w:line="600" w:lineRule="exact"/>
        <w:ind w:firstLine="640" w:firstLineChars="200"/>
        <w:jc w:val="left"/>
        <w:rPr>
          <w:rFonts w:ascii="方正仿宋简体" w:hAnsi="方正仿宋简体" w:eastAsia="方正仿宋简体" w:cs="方正仿宋简体"/>
          <w:sz w:val="32"/>
          <w:szCs w:val="32"/>
        </w:rPr>
      </w:pP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卖方：    </w:t>
      </w:r>
      <w:r>
        <w:rPr>
          <w:rFonts w:hint="eastAsia" w:ascii="仿宋_GB2312" w:hAnsi="仿宋_GB2312" w:eastAsia="仿宋_GB2312" w:cs="仿宋_GB2312"/>
          <w:sz w:val="28"/>
          <w:szCs w:val="28"/>
        </w:rPr>
        <w:t xml:space="preserve"> （以下简称“甲方”）</w:t>
      </w:r>
      <w:r>
        <w:rPr>
          <w:rFonts w:hint="eastAsia" w:ascii="方正仿宋简体" w:hAnsi="方正仿宋简体" w:eastAsia="方正仿宋简体" w:cs="方正仿宋简体"/>
          <w:sz w:val="32"/>
          <w:szCs w:val="32"/>
        </w:rPr>
        <w:t xml:space="preserve">                    　　  </w:t>
      </w:r>
    </w:p>
    <w:p>
      <w:pPr>
        <w:spacing w:line="360" w:lineRule="auto"/>
        <w:ind w:firstLine="640" w:firstLineChars="200"/>
        <w:rPr>
          <w:rFonts w:ascii="仿宋_GB2312" w:hAnsi="仿宋_GB2312" w:eastAsia="仿宋_GB2312" w:cs="仿宋_GB2312"/>
          <w:sz w:val="28"/>
          <w:szCs w:val="28"/>
        </w:rPr>
      </w:pPr>
      <w:r>
        <w:rPr>
          <w:rFonts w:hint="eastAsia" w:ascii="方正仿宋简体" w:hAnsi="方正仿宋简体" w:eastAsia="方正仿宋简体" w:cs="方正仿宋简体"/>
          <w:sz w:val="32"/>
          <w:szCs w:val="32"/>
        </w:rPr>
        <w:t>买方：</w:t>
      </w:r>
      <w:r>
        <w:rPr>
          <w:rFonts w:hint="eastAsia" w:ascii="仿宋_GB2312" w:hAnsi="仿宋_GB2312" w:eastAsia="仿宋_GB2312" w:cs="仿宋_GB2312"/>
          <w:sz w:val="28"/>
          <w:szCs w:val="28"/>
        </w:rPr>
        <w:t xml:space="preserve">      （以下简称“乙方”）</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签订地点：</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签订时间：          　　 </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第一条 标的、数量、单价及交（提）货时间 </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b/>
          <w:bCs/>
          <w:sz w:val="32"/>
          <w:szCs w:val="32"/>
        </w:rPr>
        <w:t xml:space="preserve">    </w:t>
      </w:r>
      <w:r>
        <w:rPr>
          <w:rFonts w:hint="eastAsia" w:ascii="方正小标宋简体" w:hAnsi="方正小标宋简体" w:eastAsia="方正小标宋简体" w:cs="方正小标宋简体"/>
          <w:kern w:val="1"/>
          <w:sz w:val="24"/>
          <w:szCs w:val="24"/>
        </w:rPr>
        <w:t xml:space="preserve">         　　</w:t>
      </w:r>
    </w:p>
    <w:tbl>
      <w:tblPr>
        <w:tblStyle w:val="12"/>
        <w:tblpPr w:leftFromText="180" w:rightFromText="180" w:vertAnchor="text" w:horzAnchor="margin" w:tblpX="-245" w:tblpY="21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701"/>
        <w:gridCol w:w="2269"/>
        <w:gridCol w:w="855"/>
        <w:gridCol w:w="703"/>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序号</w:t>
            </w:r>
          </w:p>
        </w:tc>
        <w:tc>
          <w:tcPr>
            <w:tcW w:w="1417"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标的名称</w:t>
            </w:r>
          </w:p>
        </w:tc>
        <w:tc>
          <w:tcPr>
            <w:tcW w:w="1701"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型号</w:t>
            </w:r>
          </w:p>
        </w:tc>
        <w:tc>
          <w:tcPr>
            <w:tcW w:w="2269"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规格</w:t>
            </w:r>
          </w:p>
        </w:tc>
        <w:tc>
          <w:tcPr>
            <w:tcW w:w="855"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单位</w:t>
            </w:r>
          </w:p>
        </w:tc>
        <w:tc>
          <w:tcPr>
            <w:tcW w:w="703"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数量</w:t>
            </w:r>
          </w:p>
        </w:tc>
        <w:tc>
          <w:tcPr>
            <w:tcW w:w="1134"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单价  （含税）</w:t>
            </w:r>
          </w:p>
        </w:tc>
        <w:tc>
          <w:tcPr>
            <w:tcW w:w="1276"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总价    （含税）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4" w:type="dxa"/>
            <w:vAlign w:val="center"/>
          </w:tcPr>
          <w:p>
            <w:pPr>
              <w:spacing w:line="360" w:lineRule="auto"/>
              <w:jc w:val="center"/>
              <w:rPr>
                <w:rFonts w:ascii="宋体" w:hAnsi="宋体" w:cs="宋体"/>
                <w:color w:val="000000"/>
                <w:szCs w:val="21"/>
              </w:rPr>
            </w:pPr>
          </w:p>
        </w:tc>
        <w:tc>
          <w:tcPr>
            <w:tcW w:w="1417" w:type="dxa"/>
            <w:vAlign w:val="center"/>
          </w:tcPr>
          <w:p>
            <w:pPr>
              <w:spacing w:line="0" w:lineRule="atLeast"/>
              <w:jc w:val="left"/>
              <w:rPr>
                <w:rFonts w:ascii="宋体" w:hAnsi="宋体" w:cs="宋体"/>
                <w:color w:val="000000"/>
                <w:szCs w:val="21"/>
              </w:rPr>
            </w:pPr>
          </w:p>
        </w:tc>
        <w:tc>
          <w:tcPr>
            <w:tcW w:w="1701" w:type="dxa"/>
            <w:vAlign w:val="center"/>
          </w:tcPr>
          <w:p>
            <w:pPr>
              <w:spacing w:line="0" w:lineRule="atLeast"/>
              <w:jc w:val="left"/>
              <w:rPr>
                <w:rFonts w:ascii="宋体" w:hAnsi="宋体" w:cs="宋体"/>
                <w:color w:val="000000"/>
                <w:szCs w:val="21"/>
              </w:rPr>
            </w:pPr>
          </w:p>
        </w:tc>
        <w:tc>
          <w:tcPr>
            <w:tcW w:w="2269" w:type="dxa"/>
            <w:vAlign w:val="center"/>
          </w:tcPr>
          <w:p>
            <w:pPr>
              <w:spacing w:line="0" w:lineRule="atLeast"/>
              <w:ind w:left="525" w:hanging="525" w:hangingChars="250"/>
              <w:jc w:val="left"/>
              <w:rPr>
                <w:rFonts w:ascii="宋体" w:hAnsi="宋体" w:cs="宋体"/>
                <w:color w:val="000000"/>
                <w:szCs w:val="21"/>
              </w:rPr>
            </w:pPr>
          </w:p>
        </w:tc>
        <w:tc>
          <w:tcPr>
            <w:tcW w:w="855" w:type="dxa"/>
            <w:vAlign w:val="center"/>
          </w:tcPr>
          <w:p>
            <w:pPr>
              <w:spacing w:line="360" w:lineRule="auto"/>
              <w:jc w:val="center"/>
              <w:rPr>
                <w:rFonts w:ascii="宋体" w:hAnsi="宋体" w:cs="宋体"/>
                <w:color w:val="000000"/>
                <w:szCs w:val="21"/>
              </w:rPr>
            </w:pPr>
          </w:p>
        </w:tc>
        <w:tc>
          <w:tcPr>
            <w:tcW w:w="703" w:type="dxa"/>
            <w:vAlign w:val="center"/>
          </w:tcPr>
          <w:p>
            <w:pPr>
              <w:spacing w:line="360" w:lineRule="auto"/>
              <w:jc w:val="center"/>
              <w:rPr>
                <w:rFonts w:ascii="宋体" w:hAnsi="宋体" w:cs="宋体"/>
                <w:color w:val="000000"/>
                <w:szCs w:val="21"/>
              </w:rPr>
            </w:pPr>
          </w:p>
        </w:tc>
        <w:tc>
          <w:tcPr>
            <w:tcW w:w="1134" w:type="dxa"/>
            <w:vAlign w:val="center"/>
          </w:tcPr>
          <w:p>
            <w:pPr>
              <w:widowControl/>
              <w:jc w:val="center"/>
              <w:rPr>
                <w:rFonts w:ascii="仿宋" w:hAnsi="仿宋" w:eastAsia="仿宋" w:cs="仿宋"/>
                <w:sz w:val="24"/>
                <w:szCs w:val="24"/>
              </w:rPr>
            </w:pPr>
          </w:p>
        </w:tc>
        <w:tc>
          <w:tcPr>
            <w:tcW w:w="1276" w:type="dxa"/>
            <w:vAlign w:val="center"/>
          </w:tcPr>
          <w:p>
            <w:pPr>
              <w:widowControl/>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921"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以上合计总价（大写）：</w:t>
            </w:r>
          </w:p>
        </w:tc>
        <w:tc>
          <w:tcPr>
            <w:tcW w:w="3968"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21"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税率： %</w:t>
            </w:r>
          </w:p>
        </w:tc>
        <w:tc>
          <w:tcPr>
            <w:tcW w:w="3968"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到货期：合同签订生效后  天</w:t>
            </w:r>
          </w:p>
        </w:tc>
      </w:tr>
    </w:tbl>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第二条 质量要求及技术标准</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甲方保证提供满足相关国家标准或行业标准要求的合格产品，所提供产品质量标准应该满足招标文件中规定的</w:t>
      </w:r>
      <w:bookmarkStart w:id="0" w:name="_GoBack"/>
      <w:bookmarkEnd w:id="0"/>
      <w:r>
        <w:rPr>
          <w:rFonts w:hint="eastAsia" w:ascii="方正仿宋简体" w:hAnsi="方正仿宋简体" w:eastAsia="方正仿宋简体" w:cs="方正仿宋简体"/>
          <w:sz w:val="32"/>
          <w:szCs w:val="32"/>
        </w:rPr>
        <w:t>质量，规格，型号等</w:t>
      </w:r>
      <w:r>
        <w:rPr>
          <w:rFonts w:hint="eastAsia" w:ascii="方正仿宋简体" w:hAnsi="方正仿宋简体" w:eastAsia="方正仿宋简体" w:cs="方正仿宋简体"/>
          <w:kern w:val="1"/>
          <w:sz w:val="32"/>
          <w:szCs w:val="32"/>
        </w:rPr>
        <w:t>技术</w:t>
      </w:r>
      <w:r>
        <w:rPr>
          <w:rFonts w:hint="eastAsia" w:ascii="方正仿宋简体" w:hAnsi="方正仿宋简体" w:eastAsia="方正仿宋简体" w:cs="方正仿宋简体"/>
          <w:sz w:val="32"/>
          <w:szCs w:val="32"/>
        </w:rPr>
        <w:t>要求，</w:t>
      </w:r>
      <w:r>
        <w:rPr>
          <w:rFonts w:hint="eastAsia" w:ascii="方正仿宋简体" w:hAnsi="方正仿宋简体" w:eastAsia="方正仿宋简体" w:cs="方正仿宋简体"/>
          <w:kern w:val="1"/>
          <w:sz w:val="32"/>
          <w:szCs w:val="32"/>
        </w:rPr>
        <w:t>并且符合安全规范要求和技术标准,</w:t>
      </w:r>
      <w:r>
        <w:rPr>
          <w:rFonts w:hint="eastAsia" w:ascii="方正仿宋简体" w:hAnsi="方正仿宋简体" w:eastAsia="方正仿宋简体" w:cs="方正仿宋简体"/>
          <w:sz w:val="32"/>
          <w:szCs w:val="32"/>
        </w:rPr>
        <w:t>质保期1年。</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第三条 甲方对质量负责的条件及期限</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中华人民共和国产品质量法》、《中华人民共和国消费者权益保护法》实行“三包”即：包修、包换、包退，如果出现质量问题，未能满足乙方对产品的质量要求，乙方有权退回或者调换，产生的费用和损失由甲方承担。</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第四条 合理损耗标准及计算方法</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无损耗</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第五条 交（提）货方式、地点及费用承担</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甲方负责送货至乙方指定地点，运费由甲方承担。</w:t>
      </w:r>
    </w:p>
    <w:p>
      <w:pPr>
        <w:spacing w:line="600" w:lineRule="exact"/>
        <w:ind w:firstLine="640" w:firstLineChars="200"/>
        <w:rPr>
          <w:rFonts w:ascii="方正仿宋简体" w:hAnsi="方正仿宋简体" w:eastAsia="方正仿宋简体" w:cs="方正仿宋简体"/>
          <w:b/>
          <w:bCs/>
          <w:sz w:val="32"/>
          <w:szCs w:val="32"/>
        </w:rPr>
      </w:pPr>
      <w:r>
        <w:rPr>
          <w:rFonts w:hint="eastAsia" w:ascii="方正黑体_GBK" w:hAnsi="方正黑体_GBK" w:eastAsia="方正黑体_GBK" w:cs="方正黑体_GBK"/>
          <w:sz w:val="32"/>
          <w:szCs w:val="32"/>
        </w:rPr>
        <w:t>第六条  检验标准、方法、地点及期限</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根据甲方提供的货物使用一段时间没问题验收。</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第七条  结算方式及时间</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乙方自收到标的物验收合格并且收到甲方开具的13%增值税发票后</w:t>
      </w:r>
      <w:r>
        <w:rPr>
          <w:rFonts w:hint="eastAsia" w:ascii="方正仿宋简体" w:hAnsi="方正仿宋简体" w:eastAsia="方正仿宋简体" w:cs="方正仿宋简体"/>
          <w:b/>
          <w:sz w:val="32"/>
          <w:szCs w:val="32"/>
        </w:rPr>
        <w:t>60日内以银行承兑</w:t>
      </w:r>
      <w:r>
        <w:rPr>
          <w:rFonts w:hint="eastAsia" w:ascii="方正仿宋简体" w:hAnsi="方正仿宋简体" w:eastAsia="方正仿宋简体" w:cs="方正仿宋简体"/>
          <w:sz w:val="32"/>
          <w:szCs w:val="32"/>
        </w:rPr>
        <w:t>方式付款。合同期内如国家税率进行调整，按以下公式调整价格：新税率价格＝合同含税价格÷（1+合同约定税率）×（1+国家规定的新税率）。</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第八条  违约责任</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w:t>
      </w:r>
      <w:r>
        <w:rPr>
          <w:rFonts w:hint="eastAsia" w:ascii="方正仿宋简体" w:hAnsi="方正仿宋简体" w:eastAsia="方正仿宋简体" w:cs="方正仿宋简体"/>
          <w:bCs/>
          <w:kern w:val="1"/>
          <w:sz w:val="30"/>
          <w:szCs w:val="30"/>
        </w:rPr>
        <w:t>如甲方没有按照规定的时间交货或提供服务，甲方将支付违约金，违约金应从货款中扣除，迟交货物或未提供服务的违约金逾期每日应按合同总金额的1%计收。但迟交货物或未提供服务超过20日，乙方有权解除合同,要求甲方五个工作日内返还乙方合同货款并按合同总额20%追究甲方违约责任</w:t>
      </w:r>
      <w:r>
        <w:rPr>
          <w:rFonts w:hint="eastAsia" w:ascii="方正仿宋简体" w:hAnsi="方正仿宋简体" w:eastAsia="方正仿宋简体" w:cs="方正仿宋简体"/>
          <w:bCs/>
          <w:kern w:val="1"/>
          <w:sz w:val="32"/>
          <w:szCs w:val="32"/>
        </w:rPr>
        <w:t>。</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2.甲方交货后，如果货物经检验不合格的，乙方可选择以下处理方式：</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乙方选择换货的，换货所产生的费用由甲方承担。经乙方同意甲方换货的，需在乙方第一次验收不合格之日起30日内供货，逾期供货的，违约责任参照第1款执行。如果出现两次经检验不合格的情况，乙方有权解除合同，甲方需在检验不合格之日起五个工作日内返还乙方合同货款，并赔偿合同总货款的20%违约金给乙方，乙方在甲方返还货款之前，有权质押货物，质押期间如产生仓储费，该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乙方选择解除合同的，退货所产生的费用由甲方承担。甲方需在检验不合格之日起五个工作日内返还乙方合同货款，并赔偿合同总货款的20%违约金给乙方，乙方在甲方返还货款之前，有权质押货物，质押期间如产生仓储费，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3.因甲方的产品质量、逾期交货等原因给乙方造成直接和间接经济损失的，由甲方承担。</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第九条 合同争议解决方式</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合同项下发生的争议，双方应协商解决，协商解决不成的，可向合同签订地人民法院起诉。败诉方应承担胜诉方因此支付的一切费用（包括但不限于诉讼费、仲裁费、律师费、执行费、评估费、拍卖费、代偿款、赔偿款等。）</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第十条 其它约定事项</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1.本合同一式</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份，甲方执</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份，乙方执</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份，自双方签字盖章之日起生效。</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2.其他未尽事宜，双方协商解决，并签订补充协议。</w:t>
      </w:r>
    </w:p>
    <w:p>
      <w:pPr>
        <w:pStyle w:val="3"/>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凡因发生严重的地震、洪水、海啸、台风等自然灾害，或战争、动乱、罢工等其他不能预见、不能避免且无法克服的不可抗力事件，致使任何一方全部或部分不能履行本合同的，遭受上述不可抗力事件的一方，应立即以口头和书面方式通知对方，并（应在三十日内）提供不可抗力的详情以及政府部门出具的相关证明文件，由此免除该方的违约责任。</w:t>
      </w:r>
    </w:p>
    <w:p/>
    <w:tbl>
      <w:tblPr>
        <w:tblStyle w:val="12"/>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9"/>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trPr>
        <w:tc>
          <w:tcPr>
            <w:tcW w:w="4679" w:type="dxa"/>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仿宋_GB2312" w:hAnsi="宋体" w:eastAsia="仿宋_GB2312"/>
                <w:sz w:val="28"/>
                <w:szCs w:val="28"/>
              </w:rPr>
            </w:pPr>
            <w:r>
              <w:rPr>
                <w:rFonts w:hint="eastAsia" w:ascii="仿宋_GB2312" w:hAnsi="宋体" w:eastAsia="仿宋_GB2312"/>
                <w:sz w:val="28"/>
                <w:szCs w:val="28"/>
              </w:rPr>
              <w:t>签订日期：   年   月  日</w:t>
            </w:r>
          </w:p>
        </w:tc>
        <w:tc>
          <w:tcPr>
            <w:tcW w:w="4961" w:type="dxa"/>
          </w:tcPr>
          <w:p>
            <w:pPr>
              <w:spacing w:line="0" w:lineRule="atLeast"/>
              <w:rPr>
                <w:rFonts w:ascii="仿宋_GB2312" w:hAnsi="宋体" w:eastAsia="仿宋_GB2312"/>
                <w:sz w:val="28"/>
                <w:szCs w:val="28"/>
              </w:rPr>
            </w:pPr>
            <w:r>
              <w:rPr>
                <w:rFonts w:hint="eastAsia" w:ascii="仿宋_GB2312" w:hAnsi="宋体" w:eastAsia="仿宋_GB2312"/>
                <w:sz w:val="28"/>
                <w:szCs w:val="28"/>
              </w:rPr>
              <w:t>乙方（盖章）：</w:t>
            </w:r>
            <w:r>
              <w:rPr>
                <w:rFonts w:hint="eastAsia" w:ascii="方正仿宋简体" w:hAnsi="方正仿宋简体" w:eastAsia="方正仿宋简体" w:cs="方正仿宋简体"/>
                <w:sz w:val="28"/>
                <w:szCs w:val="28"/>
              </w:rPr>
              <w:t>镇江海纳川物流产业发展有限责任公司</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镇江市谏壁镇越河街50号</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法定代表人： </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业务经办人： </w:t>
            </w:r>
          </w:p>
          <w:p>
            <w:pPr>
              <w:spacing w:line="0" w:lineRule="atLeast"/>
              <w:rPr>
                <w:rFonts w:ascii="仿宋_GB2312" w:hAnsi="宋体" w:eastAsia="仿宋_GB2312"/>
                <w:sz w:val="28"/>
                <w:szCs w:val="28"/>
              </w:rPr>
            </w:pPr>
            <w:r>
              <w:rPr>
                <w:rFonts w:hint="eastAsia" w:ascii="仿宋_GB2312" w:hAnsi="宋体" w:eastAsia="仿宋_GB2312"/>
                <w:sz w:val="28"/>
                <w:szCs w:val="28"/>
              </w:rPr>
              <w:t>电话：</w:t>
            </w:r>
            <w:r>
              <w:rPr>
                <w:rFonts w:hint="eastAsia" w:ascii="方正仿宋简体" w:hAnsi="方正仿宋简体" w:eastAsia="方正仿宋简体" w:cs="方正仿宋简体"/>
                <w:sz w:val="28"/>
                <w:szCs w:val="28"/>
              </w:rPr>
              <w:t>0511-88995202</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镇江市工商银行谏壁支行</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账号： </w:t>
            </w:r>
            <w:r>
              <w:rPr>
                <w:rFonts w:hint="eastAsia" w:ascii="方正仿宋简体" w:hAnsi="方正仿宋简体" w:eastAsia="方正仿宋简体" w:cs="方正仿宋简体"/>
                <w:sz w:val="28"/>
                <w:szCs w:val="28"/>
              </w:rPr>
              <w:t>1104 0703 0900 0001 648</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邮政编码：212006</w:t>
            </w:r>
          </w:p>
          <w:p>
            <w:pPr>
              <w:spacing w:line="0" w:lineRule="atLeast"/>
              <w:rPr>
                <w:rFonts w:ascii="仿宋_GB2312" w:hAnsi="宋体" w:eastAsia="仿宋_GB2312"/>
                <w:sz w:val="28"/>
                <w:szCs w:val="28"/>
              </w:rPr>
            </w:pPr>
            <w:r>
              <w:rPr>
                <w:rFonts w:hint="eastAsia" w:ascii="仿宋_GB2312" w:hAnsi="宋体" w:eastAsia="仿宋_GB2312"/>
                <w:sz w:val="28"/>
                <w:szCs w:val="28"/>
              </w:rPr>
              <w:t>签订日期：2023年  月 日</w:t>
            </w:r>
          </w:p>
        </w:tc>
      </w:tr>
    </w:tbl>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本页为甲乙双方于2023年 月 日签订的《产品买卖合同》（编号：HJHB-E-2023-00**）合同签章页。</w:t>
      </w:r>
    </w:p>
    <w:p/>
    <w:p/>
    <w:p/>
    <w:p/>
    <w:p/>
    <w:p/>
    <w:p/>
    <w:p/>
    <w:p/>
    <w:p/>
    <w:p/>
    <w:p/>
    <w:p/>
    <w:p/>
    <w:p/>
    <w:p/>
    <w:p/>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pict>
        <v:rect id="文本框 2" o:spid="_x0000_s4097" o:spt="1" style="position:absolute;left:0pt;margin-top:0pt;height:144pt;width:144pt;mso-position-horizontal:center;mso-position-horizontal-relative:margin;mso-wrap-style:none;z-index:251660288;mso-width-relative:page;mso-height-relative:page;" filled="f" o:preferrelative="t" stroked="f" coordsize="21600,21600">
          <v:path/>
          <v:fill on="f" focussize="0,0"/>
          <v:stroke on="f"/>
          <v:imagedata o:title=""/>
          <o:lock v:ext="edit"/>
          <v:textbox inset="0mm,0mm,0mm,0mm" style="mso-fit-shape-to-text:t;">
            <w:txbxContent>
              <w:p>
                <w:pPr>
                  <w:pStyle w:val="8"/>
                  <w:jc w:val="center"/>
                </w:pPr>
                <w:r>
                  <w:fldChar w:fldCharType="begin"/>
                </w:r>
                <w:r>
                  <w:instrText xml:space="preserve"> PAGE  \* MERGEFORMAT </w:instrText>
                </w:r>
                <w:r>
                  <w:fldChar w:fldCharType="separate"/>
                </w:r>
                <w:r>
                  <w:t>7</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right"/>
    </w:pPr>
    <w:r>
      <w:rPr>
        <w:rFonts w:hint="eastAsia"/>
      </w:rPr>
      <w:t>镇江海纳川物流产业发展有限责任公司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abstractNum w:abstractNumId="1">
    <w:nsid w:val="7A45D22C"/>
    <w:multiLevelType w:val="singleLevel"/>
    <w:tmpl w:val="7A45D22C"/>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DEwNDY2YTI5NjhmZmZjMjIxYzU0Y2ZmMTU3ZjJkNmIifQ=="/>
  </w:docVars>
  <w:rsids>
    <w:rsidRoot w:val="359E47FF"/>
    <w:rsid w:val="00011B4B"/>
    <w:rsid w:val="00014408"/>
    <w:rsid w:val="00030F87"/>
    <w:rsid w:val="000310BC"/>
    <w:rsid w:val="0003693D"/>
    <w:rsid w:val="00063E06"/>
    <w:rsid w:val="000A22DB"/>
    <w:rsid w:val="000B00C8"/>
    <w:rsid w:val="000B2499"/>
    <w:rsid w:val="000C1845"/>
    <w:rsid w:val="000D348B"/>
    <w:rsid w:val="000D6A23"/>
    <w:rsid w:val="00103A8D"/>
    <w:rsid w:val="00115EEC"/>
    <w:rsid w:val="001260B7"/>
    <w:rsid w:val="00136B0D"/>
    <w:rsid w:val="00160290"/>
    <w:rsid w:val="00166793"/>
    <w:rsid w:val="00181BAD"/>
    <w:rsid w:val="0018234A"/>
    <w:rsid w:val="001915A1"/>
    <w:rsid w:val="00193418"/>
    <w:rsid w:val="00196EA5"/>
    <w:rsid w:val="001A7FE6"/>
    <w:rsid w:val="001B4C8E"/>
    <w:rsid w:val="001B5044"/>
    <w:rsid w:val="001C3803"/>
    <w:rsid w:val="001C3F61"/>
    <w:rsid w:val="001D5CF3"/>
    <w:rsid w:val="001E7940"/>
    <w:rsid w:val="001F16BE"/>
    <w:rsid w:val="001F212A"/>
    <w:rsid w:val="00210C67"/>
    <w:rsid w:val="002133E5"/>
    <w:rsid w:val="0024696A"/>
    <w:rsid w:val="002604E4"/>
    <w:rsid w:val="002B3E65"/>
    <w:rsid w:val="002F51AC"/>
    <w:rsid w:val="002F66BD"/>
    <w:rsid w:val="0031037C"/>
    <w:rsid w:val="00313EBC"/>
    <w:rsid w:val="003152BD"/>
    <w:rsid w:val="00325814"/>
    <w:rsid w:val="00331F42"/>
    <w:rsid w:val="00345E7E"/>
    <w:rsid w:val="00355E41"/>
    <w:rsid w:val="003702A0"/>
    <w:rsid w:val="003732C8"/>
    <w:rsid w:val="003739A5"/>
    <w:rsid w:val="00380BAA"/>
    <w:rsid w:val="0038382E"/>
    <w:rsid w:val="00383D99"/>
    <w:rsid w:val="00384194"/>
    <w:rsid w:val="00394D6B"/>
    <w:rsid w:val="003B4E51"/>
    <w:rsid w:val="003C384A"/>
    <w:rsid w:val="00413897"/>
    <w:rsid w:val="00423C19"/>
    <w:rsid w:val="004417D5"/>
    <w:rsid w:val="004424E8"/>
    <w:rsid w:val="00466243"/>
    <w:rsid w:val="004875EB"/>
    <w:rsid w:val="004975D5"/>
    <w:rsid w:val="004C1280"/>
    <w:rsid w:val="004C289D"/>
    <w:rsid w:val="004F5E27"/>
    <w:rsid w:val="005142FA"/>
    <w:rsid w:val="00527733"/>
    <w:rsid w:val="0053268D"/>
    <w:rsid w:val="00560EB5"/>
    <w:rsid w:val="005633CB"/>
    <w:rsid w:val="0058559E"/>
    <w:rsid w:val="005D4F71"/>
    <w:rsid w:val="0061433F"/>
    <w:rsid w:val="0064021B"/>
    <w:rsid w:val="006545BB"/>
    <w:rsid w:val="006734DC"/>
    <w:rsid w:val="006835A9"/>
    <w:rsid w:val="00693CB5"/>
    <w:rsid w:val="006C09FB"/>
    <w:rsid w:val="006D00BD"/>
    <w:rsid w:val="006D3CEC"/>
    <w:rsid w:val="006D5E62"/>
    <w:rsid w:val="006E4DE8"/>
    <w:rsid w:val="0070428B"/>
    <w:rsid w:val="00711ACD"/>
    <w:rsid w:val="00724955"/>
    <w:rsid w:val="007254B5"/>
    <w:rsid w:val="00745DDD"/>
    <w:rsid w:val="00746466"/>
    <w:rsid w:val="00753CD1"/>
    <w:rsid w:val="00781AF0"/>
    <w:rsid w:val="00786EDE"/>
    <w:rsid w:val="007875CD"/>
    <w:rsid w:val="007D12CA"/>
    <w:rsid w:val="007D3B2F"/>
    <w:rsid w:val="007D630F"/>
    <w:rsid w:val="007E0D6B"/>
    <w:rsid w:val="007E6E47"/>
    <w:rsid w:val="008127B4"/>
    <w:rsid w:val="00823974"/>
    <w:rsid w:val="0083404A"/>
    <w:rsid w:val="00842B41"/>
    <w:rsid w:val="00856599"/>
    <w:rsid w:val="00882A3F"/>
    <w:rsid w:val="008A7E03"/>
    <w:rsid w:val="008B33B1"/>
    <w:rsid w:val="008C785B"/>
    <w:rsid w:val="008D2F65"/>
    <w:rsid w:val="008D5377"/>
    <w:rsid w:val="008E5E25"/>
    <w:rsid w:val="00900A5B"/>
    <w:rsid w:val="0091028A"/>
    <w:rsid w:val="0093613E"/>
    <w:rsid w:val="00975ECA"/>
    <w:rsid w:val="0098053C"/>
    <w:rsid w:val="00981E93"/>
    <w:rsid w:val="009A29A7"/>
    <w:rsid w:val="009C7CE7"/>
    <w:rsid w:val="009D1883"/>
    <w:rsid w:val="009D21BB"/>
    <w:rsid w:val="00A30621"/>
    <w:rsid w:val="00A42D2D"/>
    <w:rsid w:val="00A43591"/>
    <w:rsid w:val="00A47E98"/>
    <w:rsid w:val="00A501BA"/>
    <w:rsid w:val="00A63D7F"/>
    <w:rsid w:val="00A7381A"/>
    <w:rsid w:val="00A81560"/>
    <w:rsid w:val="00AB6095"/>
    <w:rsid w:val="00AC569D"/>
    <w:rsid w:val="00AD747D"/>
    <w:rsid w:val="00AF29F9"/>
    <w:rsid w:val="00B01341"/>
    <w:rsid w:val="00B0144D"/>
    <w:rsid w:val="00B14267"/>
    <w:rsid w:val="00B353E5"/>
    <w:rsid w:val="00B51C96"/>
    <w:rsid w:val="00B55D46"/>
    <w:rsid w:val="00B63039"/>
    <w:rsid w:val="00B7406B"/>
    <w:rsid w:val="00B74619"/>
    <w:rsid w:val="00B82A10"/>
    <w:rsid w:val="00B82CED"/>
    <w:rsid w:val="00B97765"/>
    <w:rsid w:val="00BD78FB"/>
    <w:rsid w:val="00BF2809"/>
    <w:rsid w:val="00C2100D"/>
    <w:rsid w:val="00C258E8"/>
    <w:rsid w:val="00C31E40"/>
    <w:rsid w:val="00C41533"/>
    <w:rsid w:val="00C56465"/>
    <w:rsid w:val="00C743A3"/>
    <w:rsid w:val="00C97E7F"/>
    <w:rsid w:val="00D24639"/>
    <w:rsid w:val="00D32CC0"/>
    <w:rsid w:val="00D74586"/>
    <w:rsid w:val="00D84546"/>
    <w:rsid w:val="00DA002C"/>
    <w:rsid w:val="00DD194E"/>
    <w:rsid w:val="00DD7DB9"/>
    <w:rsid w:val="00DF4F88"/>
    <w:rsid w:val="00E17D99"/>
    <w:rsid w:val="00E224BD"/>
    <w:rsid w:val="00E2759B"/>
    <w:rsid w:val="00E30627"/>
    <w:rsid w:val="00E45A9C"/>
    <w:rsid w:val="00E50D02"/>
    <w:rsid w:val="00E74639"/>
    <w:rsid w:val="00E9659A"/>
    <w:rsid w:val="00EB0C52"/>
    <w:rsid w:val="00EB7745"/>
    <w:rsid w:val="00ED1B47"/>
    <w:rsid w:val="00F0109D"/>
    <w:rsid w:val="00F16E4B"/>
    <w:rsid w:val="00F32DB5"/>
    <w:rsid w:val="00F33B17"/>
    <w:rsid w:val="00F45B42"/>
    <w:rsid w:val="00F54AE9"/>
    <w:rsid w:val="00F75185"/>
    <w:rsid w:val="00F85286"/>
    <w:rsid w:val="00FA1409"/>
    <w:rsid w:val="00FB1F61"/>
    <w:rsid w:val="00FF1217"/>
    <w:rsid w:val="00FF61CA"/>
    <w:rsid w:val="051D3D5A"/>
    <w:rsid w:val="08826623"/>
    <w:rsid w:val="09E67744"/>
    <w:rsid w:val="0CCD460E"/>
    <w:rsid w:val="11E467E9"/>
    <w:rsid w:val="1444244B"/>
    <w:rsid w:val="14EA645D"/>
    <w:rsid w:val="19181A3A"/>
    <w:rsid w:val="216E14AA"/>
    <w:rsid w:val="225D796E"/>
    <w:rsid w:val="24EC6623"/>
    <w:rsid w:val="2A98798D"/>
    <w:rsid w:val="2BBD3669"/>
    <w:rsid w:val="2E16582B"/>
    <w:rsid w:val="2E4116FA"/>
    <w:rsid w:val="31262BAF"/>
    <w:rsid w:val="330F093A"/>
    <w:rsid w:val="34E37CA8"/>
    <w:rsid w:val="359E47FF"/>
    <w:rsid w:val="35B72FCB"/>
    <w:rsid w:val="35DA3E68"/>
    <w:rsid w:val="36E674AE"/>
    <w:rsid w:val="379A3E49"/>
    <w:rsid w:val="391E61C3"/>
    <w:rsid w:val="3F3D735A"/>
    <w:rsid w:val="40D519B8"/>
    <w:rsid w:val="416D2207"/>
    <w:rsid w:val="43EC12FF"/>
    <w:rsid w:val="44366C11"/>
    <w:rsid w:val="44E509D4"/>
    <w:rsid w:val="46825CD1"/>
    <w:rsid w:val="4ADD1BA1"/>
    <w:rsid w:val="4B0853C3"/>
    <w:rsid w:val="4DC0511E"/>
    <w:rsid w:val="4FAC5BC3"/>
    <w:rsid w:val="4FC61FF0"/>
    <w:rsid w:val="50846203"/>
    <w:rsid w:val="538763B9"/>
    <w:rsid w:val="540463E4"/>
    <w:rsid w:val="55DC546E"/>
    <w:rsid w:val="579C3951"/>
    <w:rsid w:val="57F90679"/>
    <w:rsid w:val="596D6B7C"/>
    <w:rsid w:val="5CEC747F"/>
    <w:rsid w:val="5DDA4712"/>
    <w:rsid w:val="61604561"/>
    <w:rsid w:val="66202ABE"/>
    <w:rsid w:val="66441755"/>
    <w:rsid w:val="66CF713B"/>
    <w:rsid w:val="683F6E19"/>
    <w:rsid w:val="68961ACE"/>
    <w:rsid w:val="69C166FE"/>
    <w:rsid w:val="6AE467D8"/>
    <w:rsid w:val="6D9745DB"/>
    <w:rsid w:val="726141AB"/>
    <w:rsid w:val="7406451D"/>
    <w:rsid w:val="756A3232"/>
    <w:rsid w:val="77DF544D"/>
    <w:rsid w:val="783458C3"/>
    <w:rsid w:val="7A1E0C67"/>
    <w:rsid w:val="7B044DE1"/>
    <w:rsid w:val="7DD76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
    <w:qFormat/>
    <w:uiPriority w:val="99"/>
    <w:pPr>
      <w:keepNext/>
      <w:keepLines/>
      <w:spacing w:line="600" w:lineRule="exact"/>
      <w:jc w:val="center"/>
      <w:outlineLvl w:val="0"/>
    </w:pPr>
    <w:rPr>
      <w:rFonts w:ascii="Calibri" w:hAnsi="Calibri"/>
      <w:kern w:val="44"/>
      <w:sz w:val="4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qFormat/>
    <w:uiPriority w:val="0"/>
    <w:pPr>
      <w:jc w:val="left"/>
    </w:pPr>
    <w:rPr>
      <w:rFonts w:ascii="Calibri" w:hAnsi="Calibri"/>
    </w:rPr>
  </w:style>
  <w:style w:type="paragraph" w:styleId="4">
    <w:name w:val="Body Text"/>
    <w:basedOn w:val="1"/>
    <w:next w:val="5"/>
    <w:unhideWhenUsed/>
    <w:qFormat/>
    <w:uiPriority w:val="99"/>
    <w:pPr>
      <w:spacing w:after="120"/>
    </w:pPr>
  </w:style>
  <w:style w:type="paragraph" w:styleId="5">
    <w:name w:val="Plain Text"/>
    <w:basedOn w:val="1"/>
    <w:unhideWhenUsed/>
    <w:qFormat/>
    <w:uiPriority w:val="99"/>
    <w:rPr>
      <w:rFonts w:ascii="宋体" w:hAnsi="Courier New"/>
      <w:kern w:val="0"/>
      <w:sz w:val="20"/>
    </w:rPr>
  </w:style>
  <w:style w:type="paragraph" w:styleId="6">
    <w:name w:val="Body Text Indent"/>
    <w:basedOn w:val="1"/>
    <w:unhideWhenUsed/>
    <w:qFormat/>
    <w:uiPriority w:val="0"/>
    <w:pPr>
      <w:spacing w:after="120"/>
      <w:ind w:left="420" w:leftChars="200"/>
    </w:pPr>
  </w:style>
  <w:style w:type="paragraph" w:styleId="7">
    <w:name w:val="Balloon Text"/>
    <w:basedOn w:val="1"/>
    <w:link w:val="19"/>
    <w:qFormat/>
    <w:uiPriority w:val="0"/>
    <w:rPr>
      <w:sz w:val="18"/>
      <w:szCs w:val="18"/>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qFormat/>
    <w:uiPriority w:val="0"/>
    <w:pPr>
      <w:spacing w:before="240" w:after="60"/>
      <w:jc w:val="center"/>
      <w:outlineLvl w:val="0"/>
    </w:pPr>
    <w:rPr>
      <w:rFonts w:ascii="Cambria" w:hAnsi="Cambria"/>
      <w:b/>
      <w:bCs/>
      <w:kern w:val="0"/>
      <w:sz w:val="32"/>
      <w:szCs w:val="32"/>
    </w:rPr>
  </w:style>
  <w:style w:type="paragraph" w:styleId="11">
    <w:name w:val="Body Text First Indent 2"/>
    <w:basedOn w:val="6"/>
    <w:qFormat/>
    <w:uiPriority w:val="99"/>
    <w:pPr>
      <w:adjustRightInd w:val="0"/>
      <w:spacing w:after="0" w:line="312" w:lineRule="atLeast"/>
      <w:ind w:left="1296" w:leftChars="0"/>
      <w:textAlignment w:val="baseline"/>
    </w:pPr>
    <w:rPr>
      <w:rFonts w:eastAsia="仿宋_GB2312"/>
      <w:kern w:val="21"/>
      <w:sz w:val="32"/>
    </w:rPr>
  </w:style>
  <w:style w:type="paragraph" w:customStyle="1" w:styleId="14">
    <w:name w:val="列出段落11"/>
    <w:basedOn w:val="1"/>
    <w:qFormat/>
    <w:uiPriority w:val="99"/>
    <w:pPr>
      <w:ind w:firstLine="420" w:firstLineChars="200"/>
    </w:pPr>
  </w:style>
  <w:style w:type="paragraph" w:customStyle="1" w:styleId="1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
    <w:name w:val="列出段落1"/>
    <w:basedOn w:val="1"/>
    <w:qFormat/>
    <w:uiPriority w:val="34"/>
    <w:pPr>
      <w:ind w:firstLine="420" w:firstLineChars="200"/>
    </w:pPr>
  </w:style>
  <w:style w:type="character" w:customStyle="1" w:styleId="17">
    <w:name w:val="批注文字 Char"/>
    <w:basedOn w:val="13"/>
    <w:link w:val="3"/>
    <w:qFormat/>
    <w:uiPriority w:val="0"/>
    <w:rPr>
      <w:rFonts w:cs="Times New Roman"/>
      <w:kern w:val="2"/>
      <w:sz w:val="21"/>
    </w:rPr>
  </w:style>
  <w:style w:type="character" w:customStyle="1" w:styleId="18">
    <w:name w:val="标题 1 Char"/>
    <w:basedOn w:val="13"/>
    <w:link w:val="2"/>
    <w:qFormat/>
    <w:uiPriority w:val="99"/>
    <w:rPr>
      <w:rFonts w:cs="Times New Roman"/>
      <w:kern w:val="44"/>
      <w:sz w:val="44"/>
    </w:rPr>
  </w:style>
  <w:style w:type="character" w:customStyle="1" w:styleId="19">
    <w:name w:val="批注框文本 Char"/>
    <w:basedOn w:val="13"/>
    <w:link w:val="7"/>
    <w:qFormat/>
    <w:uiPriority w:val="0"/>
    <w:rPr>
      <w:rFonts w:ascii="Times New Roman" w:hAnsi="Times New Roman"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3DCBEA-9543-4EE3-97AE-23D45B57BBA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1100</Words>
  <Characters>6276</Characters>
  <Lines>52</Lines>
  <Paragraphs>14</Paragraphs>
  <TotalTime>0</TotalTime>
  <ScaleCrop>false</ScaleCrop>
  <LinksUpToDate>false</LinksUpToDate>
  <CharactersWithSpaces>7362</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邵蕾✨</cp:lastModifiedBy>
  <cp:lastPrinted>2023-10-13T01:44:29Z</cp:lastPrinted>
  <dcterms:modified xsi:type="dcterms:W3CDTF">2023-10-13T01:44:52Z</dcterms:modified>
  <dc:title>镇江海纳川物流产业发展有限责任公司</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E617128971214F11A0A6819B265D0306</vt:lpwstr>
  </property>
</Properties>
</file>