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20231123港口防爆超声波外贴式液位开关采购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28"/>
          <w:szCs w:val="28"/>
          <w:u w:val="single"/>
          <w:lang w:val="en-US" w:eastAsia="zh-CN"/>
        </w:rPr>
        <w:t>2023年11月30日下午2点整</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28"/>
          <w:szCs w:val="28"/>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28"/>
          <w:szCs w:val="28"/>
          <w:u w:val="single"/>
          <w:lang w:val="en-US" w:eastAsia="zh-CN"/>
        </w:rPr>
        <w:t>2023年11月30日下午2点整</w:t>
      </w:r>
      <w:r>
        <w:rPr>
          <w:rFonts w:hint="eastAsia" w:ascii="方正仿宋简体" w:hAnsi="方正仿宋简体" w:eastAsia="方正仿宋简体" w:cs="方正仿宋简体"/>
          <w:sz w:val="28"/>
          <w:szCs w:val="28"/>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 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pPr>
        <w:ind w:firstLine="640" w:firstLineChars="200"/>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2.3 须提供SIL认证证书，并且认证证书应在中国认监委（查询网站：</w:t>
      </w:r>
      <w:r>
        <w:rPr>
          <w:rFonts w:ascii="方正仿宋简体" w:hAnsi="方正仿宋简体" w:eastAsia="方正仿宋简体" w:cs="方正仿宋简体"/>
          <w:b/>
          <w:kern w:val="1"/>
          <w:sz w:val="32"/>
          <w:szCs w:val="32"/>
        </w:rPr>
        <w:t>https://www.cnca.gov.cn/hlwfw/</w:t>
      </w:r>
      <w:r>
        <w:rPr>
          <w:rFonts w:hint="eastAsia" w:ascii="方正仿宋简体" w:hAnsi="方正仿宋简体" w:eastAsia="方正仿宋简体" w:cs="方正仿宋简体"/>
          <w:kern w:val="1"/>
          <w:sz w:val="32"/>
          <w:szCs w:val="32"/>
        </w:rPr>
        <w:t>）备案可查。</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2.4液位开关数据表中要求的</w:t>
      </w:r>
      <w:r>
        <w:rPr>
          <w:rFonts w:hint="eastAsia" w:ascii="方正仿宋简体" w:hAnsi="方正仿宋简体" w:eastAsia="方正仿宋简体" w:cs="方正仿宋简体"/>
          <w:b/>
          <w:kern w:val="1"/>
          <w:sz w:val="32"/>
          <w:szCs w:val="32"/>
        </w:rPr>
        <w:t>精度</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b/>
          <w:kern w:val="1"/>
          <w:sz w:val="32"/>
          <w:szCs w:val="32"/>
        </w:rPr>
        <w:t>防爆等级</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b/>
          <w:kern w:val="1"/>
          <w:sz w:val="32"/>
          <w:szCs w:val="32"/>
        </w:rPr>
        <w:t>防护等级</w:t>
      </w:r>
      <w:r>
        <w:rPr>
          <w:rFonts w:hint="eastAsia" w:ascii="方正仿宋简体" w:hAnsi="方正仿宋简体" w:eastAsia="方正仿宋简体" w:cs="方正仿宋简体"/>
          <w:kern w:val="1"/>
          <w:sz w:val="32"/>
          <w:szCs w:val="32"/>
        </w:rPr>
        <w:t>及</w:t>
      </w:r>
      <w:r>
        <w:rPr>
          <w:rFonts w:hint="eastAsia" w:ascii="方正仿宋简体" w:hAnsi="方正仿宋简体" w:eastAsia="方正仿宋简体" w:cs="方正仿宋简体"/>
          <w:b/>
          <w:kern w:val="1"/>
          <w:sz w:val="32"/>
          <w:szCs w:val="32"/>
        </w:rPr>
        <w:t>主机防腐等级</w:t>
      </w:r>
      <w:r>
        <w:rPr>
          <w:rFonts w:hint="eastAsia" w:ascii="方正仿宋简体" w:hAnsi="方正仿宋简体" w:eastAsia="方正仿宋简体" w:cs="方正仿宋简体"/>
          <w:kern w:val="1"/>
          <w:sz w:val="32"/>
          <w:szCs w:val="32"/>
        </w:rPr>
        <w:t>应在投标方提供的第三方权威机构证书</w:t>
      </w:r>
      <w:r>
        <w:rPr>
          <w:rFonts w:hint="eastAsia" w:ascii="方正仿宋简体" w:hAnsi="方正仿宋简体" w:eastAsia="方正仿宋简体" w:cs="方正仿宋简体"/>
          <w:sz w:val="32"/>
          <w:szCs w:val="32"/>
          <w:u w:val="single"/>
        </w:rPr>
        <w:t>（复印件</w:t>
      </w:r>
      <w:r>
        <w:rPr>
          <w:rFonts w:hint="eastAsia" w:ascii="方正仿宋简体" w:hAnsi="方正仿宋简体" w:eastAsia="方正仿宋简体" w:cs="方正仿宋简体"/>
          <w:kern w:val="1"/>
          <w:sz w:val="32"/>
          <w:szCs w:val="32"/>
          <w:u w:val="single"/>
        </w:rPr>
        <w:t>需盖公章）</w:t>
      </w:r>
      <w:r>
        <w:rPr>
          <w:rFonts w:hint="eastAsia" w:ascii="方正仿宋简体" w:hAnsi="方正仿宋简体" w:eastAsia="方正仿宋简体" w:cs="方正仿宋简体"/>
          <w:kern w:val="1"/>
          <w:sz w:val="32"/>
          <w:szCs w:val="32"/>
        </w:rPr>
        <w:t>中体现，未提供按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u w:val="single"/>
        </w:rPr>
        <w:t>《营业执照》、《税务登记证》、《组织机构代码证》（或三证合一）（复印件</w:t>
      </w:r>
      <w:r>
        <w:rPr>
          <w:rFonts w:hint="eastAsia" w:ascii="方正仿宋简体" w:hAnsi="方正仿宋简体" w:eastAsia="方正仿宋简体" w:cs="方正仿宋简体"/>
          <w:kern w:val="1"/>
          <w:sz w:val="32"/>
          <w:szCs w:val="32"/>
          <w:u w:val="single"/>
        </w:rPr>
        <w:t>需盖公章）、《产品SIL认证证书》</w:t>
      </w:r>
      <w:r>
        <w:rPr>
          <w:rFonts w:hint="eastAsia" w:ascii="方正仿宋简体" w:hAnsi="方正仿宋简体" w:eastAsia="方正仿宋简体" w:cs="方正仿宋简体"/>
          <w:kern w:val="1"/>
          <w:sz w:val="32"/>
          <w:szCs w:val="32"/>
          <w:u w:val="none"/>
          <w:lang w:eastAsia="zh-CN"/>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r>
        <w:rPr>
          <w:rFonts w:hint="eastAsia" w:ascii="方正仿宋简体" w:hAnsi="方正仿宋简体" w:eastAsia="方正仿宋简体" w:cs="方正仿宋简体"/>
          <w:kern w:val="1"/>
          <w:sz w:val="32"/>
          <w:szCs w:val="32"/>
          <w:u w:val="none"/>
        </w:rPr>
        <w:t>。</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5.中标单位发货前需通知招标方验货，招标方根据需求选择验货方式和地点。</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6.</w:t>
      </w:r>
      <w:r>
        <w:rPr>
          <w:rFonts w:hint="eastAsia"/>
        </w:rPr>
        <w:t xml:space="preserve"> </w:t>
      </w:r>
      <w:r>
        <w:rPr>
          <w:rFonts w:hint="eastAsia" w:ascii="方正仿宋简体" w:hAnsi="方正仿宋简体" w:eastAsia="方正仿宋简体" w:cs="方正仿宋简体"/>
          <w:bCs/>
          <w:sz w:val="32"/>
          <w:szCs w:val="32"/>
        </w:rPr>
        <w:t>中标单位需安排技术人员到现场提供安装指导服务。</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将报价书及相关资料以标袋形式送达，标袋必</w:t>
      </w:r>
      <w:r>
        <w:rPr>
          <w:rFonts w:hint="eastAsia" w:ascii="方正仿宋简体" w:hAnsi="方正仿宋简体" w:eastAsia="方正仿宋简体" w:cs="方正仿宋简体"/>
          <w:bCs/>
          <w:sz w:val="32"/>
          <w:szCs w:val="32"/>
          <w:highlight w:val="none"/>
        </w:rPr>
        <w:t>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w:t>
      </w:r>
      <w:r>
        <w:rPr>
          <w:rFonts w:hint="eastAsia" w:ascii="方正仿宋简体" w:hAnsi="方正仿宋简体" w:eastAsia="方正仿宋简体" w:cs="方正仿宋简体"/>
          <w:kern w:val="1"/>
          <w:sz w:val="32"/>
          <w:szCs w:val="32"/>
        </w:rPr>
        <w:t>送达，逾期将作为废标处理。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hint="eastAsia" w:ascii="方正仿宋简体" w:hAnsi="方正仿宋简体" w:eastAsia="方正仿宋简体" w:cs="方正仿宋简体"/>
          <w:color w:val="FF0000"/>
          <w:kern w:val="1"/>
          <w:sz w:val="32"/>
          <w:szCs w:val="32"/>
          <w:lang w:eastAsia="zh-CN"/>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3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
        <w:gridCol w:w="1358"/>
        <w:gridCol w:w="2317"/>
        <w:gridCol w:w="810"/>
        <w:gridCol w:w="653"/>
        <w:gridCol w:w="673"/>
        <w:gridCol w:w="942"/>
        <w:gridCol w:w="948"/>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2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5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8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44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36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7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21"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524"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9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50"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751" w:type="pct"/>
            <w:vAlign w:val="center"/>
          </w:tcPr>
          <w:p>
            <w:pPr>
              <w:rPr>
                <w:rFonts w:ascii="宋体" w:hAnsi="宋体" w:cs="宋体"/>
                <w:color w:val="000000"/>
                <w:sz w:val="18"/>
                <w:szCs w:val="18"/>
              </w:rPr>
            </w:pPr>
            <w:r>
              <w:rPr>
                <w:rFonts w:hint="eastAsia"/>
                <w:color w:val="000000"/>
                <w:sz w:val="18"/>
                <w:szCs w:val="18"/>
              </w:rPr>
              <w:t>防爆超声波外贴式液位开关</w:t>
            </w:r>
          </w:p>
        </w:tc>
        <w:tc>
          <w:tcPr>
            <w:tcW w:w="1281" w:type="pct"/>
            <w:vAlign w:val="center"/>
          </w:tcPr>
          <w:p>
            <w:pPr>
              <w:rPr>
                <w:rFonts w:ascii="宋体" w:hAnsi="宋体" w:cs="宋体"/>
                <w:color w:val="000000"/>
                <w:sz w:val="18"/>
                <w:szCs w:val="18"/>
              </w:rPr>
            </w:pPr>
            <w:r>
              <w:rPr>
                <w:rFonts w:hint="eastAsia"/>
                <w:color w:val="000000"/>
                <w:sz w:val="18"/>
                <w:szCs w:val="18"/>
              </w:rPr>
              <w:t>24VDC SIL2 含两个探头、一个变送器及安装附件   详见：液位开关仪表数据表</w:t>
            </w:r>
          </w:p>
        </w:tc>
        <w:tc>
          <w:tcPr>
            <w:tcW w:w="448" w:type="pct"/>
            <w:vAlign w:val="center"/>
          </w:tcPr>
          <w:p>
            <w:pPr>
              <w:rPr>
                <w:rFonts w:ascii="宋体" w:hAnsi="宋体" w:cs="宋体"/>
                <w:color w:val="000000"/>
                <w:sz w:val="18"/>
                <w:szCs w:val="18"/>
              </w:rPr>
            </w:pPr>
            <w:r>
              <w:rPr>
                <w:rFonts w:hint="eastAsia"/>
                <w:color w:val="000000"/>
                <w:sz w:val="18"/>
                <w:szCs w:val="18"/>
              </w:rPr>
              <w:t>　</w:t>
            </w:r>
          </w:p>
        </w:tc>
        <w:tc>
          <w:tcPr>
            <w:tcW w:w="361" w:type="pct"/>
            <w:vAlign w:val="center"/>
          </w:tcPr>
          <w:p>
            <w:pPr>
              <w:jc w:val="center"/>
              <w:rPr>
                <w:rFonts w:ascii="宋体" w:hAnsi="宋体" w:cs="宋体"/>
                <w:color w:val="000000"/>
                <w:sz w:val="18"/>
                <w:szCs w:val="18"/>
              </w:rPr>
            </w:pPr>
            <w:r>
              <w:rPr>
                <w:rFonts w:hint="eastAsia"/>
                <w:color w:val="000000"/>
                <w:sz w:val="18"/>
                <w:szCs w:val="18"/>
              </w:rPr>
              <w:t>套</w:t>
            </w:r>
          </w:p>
        </w:tc>
        <w:tc>
          <w:tcPr>
            <w:tcW w:w="372" w:type="pct"/>
            <w:vAlign w:val="center"/>
          </w:tcPr>
          <w:p>
            <w:pPr>
              <w:jc w:val="center"/>
              <w:rPr>
                <w:rFonts w:ascii="宋体" w:hAnsi="宋体" w:cs="宋体"/>
                <w:color w:val="000000"/>
                <w:sz w:val="18"/>
                <w:szCs w:val="18"/>
              </w:rPr>
            </w:pPr>
            <w:r>
              <w:rPr>
                <w:rFonts w:hint="eastAsia"/>
                <w:color w:val="000000"/>
                <w:sz w:val="18"/>
                <w:szCs w:val="18"/>
              </w:rPr>
              <w:t>4</w:t>
            </w:r>
          </w:p>
        </w:tc>
        <w:tc>
          <w:tcPr>
            <w:tcW w:w="521" w:type="pct"/>
            <w:vAlign w:val="center"/>
          </w:tcPr>
          <w:p>
            <w:pPr>
              <w:widowControl/>
              <w:spacing w:line="0" w:lineRule="atLeast"/>
              <w:jc w:val="center"/>
              <w:rPr>
                <w:rFonts w:ascii="方正仿宋简体" w:hAnsi="方正仿宋简体" w:eastAsia="方正仿宋简体" w:cs="方正仿宋简体"/>
                <w:szCs w:val="21"/>
              </w:rPr>
            </w:pPr>
          </w:p>
        </w:tc>
        <w:tc>
          <w:tcPr>
            <w:tcW w:w="524" w:type="pct"/>
            <w:vAlign w:val="center"/>
          </w:tcPr>
          <w:p>
            <w:pPr>
              <w:widowControl/>
              <w:spacing w:line="0" w:lineRule="atLeast"/>
              <w:jc w:val="center"/>
              <w:rPr>
                <w:rFonts w:ascii="方正仿宋简体" w:hAnsi="方正仿宋简体" w:eastAsia="方正仿宋简体" w:cs="方正仿宋简体"/>
                <w:szCs w:val="21"/>
              </w:rPr>
            </w:pPr>
          </w:p>
        </w:tc>
        <w:tc>
          <w:tcPr>
            <w:tcW w:w="492"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729"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271"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kern w:val="1"/>
          <w:sz w:val="32"/>
          <w:szCs w:val="32"/>
        </w:rPr>
        <w:t>四.我方承诺遵守招标文件中的全部规定</w:t>
      </w:r>
      <w:r>
        <w:rPr>
          <w:rFonts w:hint="eastAsia" w:ascii="方正仿宋简体" w:hAnsi="方正仿宋简体" w:eastAsia="方正仿宋简体" w:cs="方正仿宋简体"/>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bCs/>
          <w:kern w:val="1"/>
          <w:sz w:val="32"/>
          <w:szCs w:val="32"/>
        </w:rPr>
        <w:t>五.我方承诺中标后双方签订合同,并承担合同规定的责任义务</w:t>
      </w:r>
      <w:r>
        <w:rPr>
          <w:rFonts w:hint="eastAsia" w:ascii="方正仿宋简体" w:hAnsi="方正仿宋简体" w:eastAsia="方正仿宋简体" w:cs="方正仿宋简体"/>
          <w:bCs/>
          <w:kern w:val="1"/>
          <w:sz w:val="32"/>
          <w:szCs w:val="32"/>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lang w:eastAsia="zh-CN"/>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shd w:val="clear" w:color="auto" w:fill="FFFFFF"/>
          <w:lang w:eastAsia="zh-CN"/>
        </w:rPr>
        <w:t>。</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bookmarkStart w:id="0" w:name="_GoBack"/>
      <w:bookmarkEnd w:id="0"/>
    </w:p>
    <w:p>
      <w:pPr>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附：液位开关仪表数据表</w:t>
      </w:r>
    </w:p>
    <w:tbl>
      <w:tblPr>
        <w:tblStyle w:val="12"/>
        <w:tblW w:w="4772" w:type="pct"/>
        <w:tblInd w:w="0" w:type="dxa"/>
        <w:tblLayout w:type="autofit"/>
        <w:tblCellMar>
          <w:top w:w="0" w:type="dxa"/>
          <w:left w:w="108" w:type="dxa"/>
          <w:bottom w:w="0" w:type="dxa"/>
          <w:right w:w="108" w:type="dxa"/>
        </w:tblCellMar>
      </w:tblPr>
      <w:tblGrid>
        <w:gridCol w:w="360"/>
        <w:gridCol w:w="368"/>
        <w:gridCol w:w="363"/>
        <w:gridCol w:w="366"/>
        <w:gridCol w:w="273"/>
        <w:gridCol w:w="272"/>
        <w:gridCol w:w="270"/>
        <w:gridCol w:w="272"/>
        <w:gridCol w:w="241"/>
        <w:gridCol w:w="231"/>
        <w:gridCol w:w="228"/>
        <w:gridCol w:w="222"/>
        <w:gridCol w:w="191"/>
        <w:gridCol w:w="31"/>
        <w:gridCol w:w="222"/>
        <w:gridCol w:w="828"/>
        <w:gridCol w:w="202"/>
        <w:gridCol w:w="20"/>
        <w:gridCol w:w="222"/>
        <w:gridCol w:w="212"/>
        <w:gridCol w:w="10"/>
        <w:gridCol w:w="212"/>
        <w:gridCol w:w="10"/>
        <w:gridCol w:w="212"/>
        <w:gridCol w:w="10"/>
        <w:gridCol w:w="214"/>
        <w:gridCol w:w="8"/>
        <w:gridCol w:w="224"/>
        <w:gridCol w:w="222"/>
        <w:gridCol w:w="15"/>
        <w:gridCol w:w="201"/>
        <w:gridCol w:w="6"/>
        <w:gridCol w:w="15"/>
        <w:gridCol w:w="207"/>
        <w:gridCol w:w="15"/>
        <w:gridCol w:w="229"/>
        <w:gridCol w:w="15"/>
        <w:gridCol w:w="207"/>
        <w:gridCol w:w="15"/>
        <w:gridCol w:w="207"/>
        <w:gridCol w:w="15"/>
        <w:gridCol w:w="207"/>
        <w:gridCol w:w="15"/>
        <w:gridCol w:w="248"/>
      </w:tblGrid>
      <w:tr>
        <w:tblPrEx>
          <w:tblCellMar>
            <w:top w:w="0" w:type="dxa"/>
            <w:left w:w="108" w:type="dxa"/>
            <w:bottom w:w="0" w:type="dxa"/>
            <w:right w:w="108" w:type="dxa"/>
          </w:tblCellMar>
        </w:tblPrEx>
        <w:trPr>
          <w:trHeight w:val="996" w:hRule="atLeast"/>
        </w:trPr>
        <w:tc>
          <w:tcPr>
            <w:tcW w:w="5000" w:type="pct"/>
            <w:gridSpan w:val="44"/>
            <w:tcBorders>
              <w:top w:val="nil"/>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36"/>
                <w:szCs w:val="36"/>
              </w:rPr>
            </w:pPr>
            <w:r>
              <w:rPr>
                <w:rFonts w:ascii="宋体" w:hAnsi="宋体" w:cs="宋体"/>
                <w:color w:val="000000"/>
                <w:kern w:val="0"/>
                <w:sz w:val="36"/>
                <w:szCs w:val="36"/>
              </w:rPr>
              <w:drawing>
                <wp:anchor distT="0" distB="0" distL="114300" distR="114300" simplePos="0" relativeHeight="251662336"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26" name="文字 152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10"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64384"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27" name="文本框 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19"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66432"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28" name="文本框 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28"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68480"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29" name="文本框 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39"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70528"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30" name="文本框 1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50"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72576"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31" name="文本框 1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61"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74624"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32" name="文本框 1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71"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76672"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33" name="文本框 1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74"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78720"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34" name="文本框 1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77"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80768"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35" name="文本框 2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80"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82816"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36" name="文本框 2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83"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84864"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37" name="文本框 2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86"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86912"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38" name="文本框 2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89"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88960"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39" name="文本框 2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92"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91008"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40" name="文本框 3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95"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93056"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41" name="文本框 33"/>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298"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95104"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42" name="文本框 35"/>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301"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97152"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43" name="文本框 37"/>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304"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99200"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44" name="文本框 3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307"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701248" behindDoc="0" locked="0" layoutInCell="1" allowOverlap="1">
                  <wp:simplePos x="0" y="0"/>
                  <wp:positionH relativeFrom="column">
                    <wp:posOffset>190500</wp:posOffset>
                  </wp:positionH>
                  <wp:positionV relativeFrom="paragraph">
                    <wp:posOffset>238125</wp:posOffset>
                  </wp:positionV>
                  <wp:extent cx="0" cy="0"/>
                  <wp:effectExtent l="0" t="0" r="0" b="635"/>
                  <wp:wrapNone/>
                  <wp:docPr id="145" name="文本框 4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238125"/>
                            <a:ext cx="0" cy="0"/>
                            <a:chOff x="361950" y="238125"/>
                            <a:chExt cx="0" cy="0"/>
                          </a:xfrm>
                        </a:grpSpPr>
                        <a:sp>
                          <a:nvSpPr>
                            <a:cNvPr id="310" name="文字 1526"/>
                            <a:cNvSpPr txBox="1">
                              <a:spLocks noChangeArrowheads="1"/>
                            </a:cNvSpPr>
                          </a:nvSpPr>
                          <a:spPr>
                            <a:xfrm>
                              <a:off x="361950" y="238125"/>
                              <a:ext cx="0" cy="0"/>
                            </a:xfrm>
                            <a:prstGeom prst="rect">
                              <a:avLst/>
                            </a:prstGeom>
                            <a:noFill/>
                            <a:ln>
                              <a:noFill/>
                            </a:ln>
                          </a:spPr>
                          <a:txSp>
                            <a:txBody>
                              <a:bodyPr vertOverflow="clip" wrap="square" lIns="27432" tIns="18288" rIns="0"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l" rtl="0"/>
                                <a:r>
                                  <a:rPr lang="zh-CN" altLang="en-US" sz="700" b="0" i="0" u="none" strike="noStrike" baseline="0">
                                    <a:solidFill>
                                      <a:srgbClr val="000000"/>
                                    </a:solidFill>
                                    <a:latin typeface="宋体" panose="02010600030101010101" charset="-122"/>
                                    <a:ea typeface="宋体" panose="02010600030101010101" charset="-122"/>
                                  </a:rPr>
                                  <a:t>第       张 共       张</a:t>
                                </a:r>
                                <a:endParaRPr lang="zh-CN" altLang="en-US" sz="700" b="0" i="0" u="none" strike="noStrike" baseline="0">
                                  <a:solidFill>
                                    <a:srgbClr val="000000"/>
                                  </a:solidFill>
                                  <a:latin typeface="宋体" panose="02010600030101010101" charset="-122"/>
                                  <a:ea typeface="宋体" panose="02010600030101010101" charset="-122"/>
                                </a:endParaRPr>
                              </a:p>
                              <a:p>
                                <a:pPr algn="l" rtl="0"/>
                                <a:r>
                                  <a:rPr lang="zh-CN" altLang="en-US" sz="700" b="0" i="0" u="none" strike="noStrike" baseline="0">
                                    <a:solidFill>
                                      <a:srgbClr val="000000"/>
                                    </a:solidFill>
                                    <a:latin typeface="宋体" panose="02010600030101010101" charset="-122"/>
                                    <a:ea typeface="宋体" panose="02010600030101010101" charset="-122"/>
                                  </a:rPr>
                                  <a:t> SHEET          OF           </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61312" behindDoc="0" locked="0" layoutInCell="1" allowOverlap="1">
                  <wp:simplePos x="0" y="0"/>
                  <wp:positionH relativeFrom="column">
                    <wp:posOffset>190500</wp:posOffset>
                  </wp:positionH>
                  <wp:positionV relativeFrom="paragraph">
                    <wp:posOffset>0</wp:posOffset>
                  </wp:positionV>
                  <wp:extent cx="0" cy="9525"/>
                  <wp:effectExtent l="0" t="0" r="0" b="635"/>
                  <wp:wrapNone/>
                  <wp:docPr id="146" name="文字 1519"/>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08"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63360" behindDoc="0" locked="0" layoutInCell="1" allowOverlap="1">
                  <wp:simplePos x="0" y="0"/>
                  <wp:positionH relativeFrom="column">
                    <wp:posOffset>190500</wp:posOffset>
                  </wp:positionH>
                  <wp:positionV relativeFrom="paragraph">
                    <wp:posOffset>0</wp:posOffset>
                  </wp:positionV>
                  <wp:extent cx="0" cy="9525"/>
                  <wp:effectExtent l="0" t="0" r="0" b="635"/>
                  <wp:wrapNone/>
                  <wp:docPr id="147" name="文本框 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17"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65408" behindDoc="0" locked="0" layoutInCell="1" allowOverlap="1">
                  <wp:simplePos x="0" y="0"/>
                  <wp:positionH relativeFrom="column">
                    <wp:posOffset>190500</wp:posOffset>
                  </wp:positionH>
                  <wp:positionV relativeFrom="paragraph">
                    <wp:posOffset>0</wp:posOffset>
                  </wp:positionV>
                  <wp:extent cx="0" cy="9525"/>
                  <wp:effectExtent l="0" t="0" r="0" b="635"/>
                  <wp:wrapNone/>
                  <wp:docPr id="148" name="文本框 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26"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67456" behindDoc="0" locked="0" layoutInCell="1" allowOverlap="1">
                  <wp:simplePos x="0" y="0"/>
                  <wp:positionH relativeFrom="column">
                    <wp:posOffset>190500</wp:posOffset>
                  </wp:positionH>
                  <wp:positionV relativeFrom="paragraph">
                    <wp:posOffset>0</wp:posOffset>
                  </wp:positionV>
                  <wp:extent cx="0" cy="9525"/>
                  <wp:effectExtent l="0" t="0" r="0" b="635"/>
                  <wp:wrapNone/>
                  <wp:docPr id="149" name="文本框 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37"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69504" behindDoc="0" locked="0" layoutInCell="1" allowOverlap="1">
                  <wp:simplePos x="0" y="0"/>
                  <wp:positionH relativeFrom="column">
                    <wp:posOffset>190500</wp:posOffset>
                  </wp:positionH>
                  <wp:positionV relativeFrom="paragraph">
                    <wp:posOffset>0</wp:posOffset>
                  </wp:positionV>
                  <wp:extent cx="0" cy="9525"/>
                  <wp:effectExtent l="0" t="0" r="0" b="635"/>
                  <wp:wrapNone/>
                  <wp:docPr id="150" name="文本框 1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48"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71552" behindDoc="0" locked="0" layoutInCell="1" allowOverlap="1">
                  <wp:simplePos x="0" y="0"/>
                  <wp:positionH relativeFrom="column">
                    <wp:posOffset>190500</wp:posOffset>
                  </wp:positionH>
                  <wp:positionV relativeFrom="paragraph">
                    <wp:posOffset>0</wp:posOffset>
                  </wp:positionV>
                  <wp:extent cx="0" cy="9525"/>
                  <wp:effectExtent l="0" t="0" r="0" b="635"/>
                  <wp:wrapNone/>
                  <wp:docPr id="151" name="文本框 1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59"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73600" behindDoc="0" locked="0" layoutInCell="1" allowOverlap="1">
                  <wp:simplePos x="0" y="0"/>
                  <wp:positionH relativeFrom="column">
                    <wp:posOffset>190500</wp:posOffset>
                  </wp:positionH>
                  <wp:positionV relativeFrom="paragraph">
                    <wp:posOffset>0</wp:posOffset>
                  </wp:positionV>
                  <wp:extent cx="0" cy="9525"/>
                  <wp:effectExtent l="0" t="0" r="0" b="635"/>
                  <wp:wrapNone/>
                  <wp:docPr id="152" name="文本框 1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70"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75648" behindDoc="0" locked="0" layoutInCell="1" allowOverlap="1">
                  <wp:simplePos x="0" y="0"/>
                  <wp:positionH relativeFrom="column">
                    <wp:posOffset>190500</wp:posOffset>
                  </wp:positionH>
                  <wp:positionV relativeFrom="paragraph">
                    <wp:posOffset>0</wp:posOffset>
                  </wp:positionV>
                  <wp:extent cx="0" cy="9525"/>
                  <wp:effectExtent l="0" t="0" r="0" b="635"/>
                  <wp:wrapNone/>
                  <wp:docPr id="153" name="文本框 1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73"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77696" behindDoc="0" locked="0" layoutInCell="1" allowOverlap="1">
                  <wp:simplePos x="0" y="0"/>
                  <wp:positionH relativeFrom="column">
                    <wp:posOffset>190500</wp:posOffset>
                  </wp:positionH>
                  <wp:positionV relativeFrom="paragraph">
                    <wp:posOffset>0</wp:posOffset>
                  </wp:positionV>
                  <wp:extent cx="0" cy="9525"/>
                  <wp:effectExtent l="0" t="0" r="0" b="635"/>
                  <wp:wrapNone/>
                  <wp:docPr id="154" name="文本框 1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76"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79744" behindDoc="0" locked="0" layoutInCell="1" allowOverlap="1">
                  <wp:simplePos x="0" y="0"/>
                  <wp:positionH relativeFrom="column">
                    <wp:posOffset>190500</wp:posOffset>
                  </wp:positionH>
                  <wp:positionV relativeFrom="paragraph">
                    <wp:posOffset>0</wp:posOffset>
                  </wp:positionV>
                  <wp:extent cx="0" cy="9525"/>
                  <wp:effectExtent l="0" t="0" r="0" b="635"/>
                  <wp:wrapNone/>
                  <wp:docPr id="155" name="文本框 2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79"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81792" behindDoc="0" locked="0" layoutInCell="1" allowOverlap="1">
                  <wp:simplePos x="0" y="0"/>
                  <wp:positionH relativeFrom="column">
                    <wp:posOffset>190500</wp:posOffset>
                  </wp:positionH>
                  <wp:positionV relativeFrom="paragraph">
                    <wp:posOffset>0</wp:posOffset>
                  </wp:positionV>
                  <wp:extent cx="0" cy="9525"/>
                  <wp:effectExtent l="0" t="0" r="0" b="635"/>
                  <wp:wrapNone/>
                  <wp:docPr id="156" name="文本框 2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82"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83840" behindDoc="0" locked="0" layoutInCell="1" allowOverlap="1">
                  <wp:simplePos x="0" y="0"/>
                  <wp:positionH relativeFrom="column">
                    <wp:posOffset>190500</wp:posOffset>
                  </wp:positionH>
                  <wp:positionV relativeFrom="paragraph">
                    <wp:posOffset>0</wp:posOffset>
                  </wp:positionV>
                  <wp:extent cx="0" cy="9525"/>
                  <wp:effectExtent l="0" t="0" r="0" b="635"/>
                  <wp:wrapNone/>
                  <wp:docPr id="157" name="文本框 2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85"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85888" behindDoc="0" locked="0" layoutInCell="1" allowOverlap="1">
                  <wp:simplePos x="0" y="0"/>
                  <wp:positionH relativeFrom="column">
                    <wp:posOffset>190500</wp:posOffset>
                  </wp:positionH>
                  <wp:positionV relativeFrom="paragraph">
                    <wp:posOffset>0</wp:posOffset>
                  </wp:positionV>
                  <wp:extent cx="0" cy="9525"/>
                  <wp:effectExtent l="0" t="0" r="0" b="635"/>
                  <wp:wrapNone/>
                  <wp:docPr id="158" name="文本框 2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88"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87936" behindDoc="0" locked="0" layoutInCell="1" allowOverlap="1">
                  <wp:simplePos x="0" y="0"/>
                  <wp:positionH relativeFrom="column">
                    <wp:posOffset>190500</wp:posOffset>
                  </wp:positionH>
                  <wp:positionV relativeFrom="paragraph">
                    <wp:posOffset>0</wp:posOffset>
                  </wp:positionV>
                  <wp:extent cx="0" cy="9525"/>
                  <wp:effectExtent l="0" t="0" r="0" b="635"/>
                  <wp:wrapNone/>
                  <wp:docPr id="159" name="文本框 2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91"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89984" behindDoc="0" locked="0" layoutInCell="1" allowOverlap="1">
                  <wp:simplePos x="0" y="0"/>
                  <wp:positionH relativeFrom="column">
                    <wp:posOffset>190500</wp:posOffset>
                  </wp:positionH>
                  <wp:positionV relativeFrom="paragraph">
                    <wp:posOffset>0</wp:posOffset>
                  </wp:positionV>
                  <wp:extent cx="0" cy="9525"/>
                  <wp:effectExtent l="0" t="0" r="0" b="635"/>
                  <wp:wrapNone/>
                  <wp:docPr id="160" name="文本框 3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94"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92032" behindDoc="0" locked="0" layoutInCell="1" allowOverlap="1">
                  <wp:simplePos x="0" y="0"/>
                  <wp:positionH relativeFrom="column">
                    <wp:posOffset>190500</wp:posOffset>
                  </wp:positionH>
                  <wp:positionV relativeFrom="paragraph">
                    <wp:posOffset>0</wp:posOffset>
                  </wp:positionV>
                  <wp:extent cx="0" cy="9525"/>
                  <wp:effectExtent l="0" t="0" r="0" b="635"/>
                  <wp:wrapNone/>
                  <wp:docPr id="161" name="文本框 3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297"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94080" behindDoc="0" locked="0" layoutInCell="1" allowOverlap="1">
                  <wp:simplePos x="0" y="0"/>
                  <wp:positionH relativeFrom="column">
                    <wp:posOffset>190500</wp:posOffset>
                  </wp:positionH>
                  <wp:positionV relativeFrom="paragraph">
                    <wp:posOffset>0</wp:posOffset>
                  </wp:positionV>
                  <wp:extent cx="0" cy="9525"/>
                  <wp:effectExtent l="0" t="0" r="0" b="635"/>
                  <wp:wrapNone/>
                  <wp:docPr id="162" name="文本框 3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300"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96128" behindDoc="0" locked="0" layoutInCell="1" allowOverlap="1">
                  <wp:simplePos x="0" y="0"/>
                  <wp:positionH relativeFrom="column">
                    <wp:posOffset>190500</wp:posOffset>
                  </wp:positionH>
                  <wp:positionV relativeFrom="paragraph">
                    <wp:posOffset>0</wp:posOffset>
                  </wp:positionV>
                  <wp:extent cx="0" cy="9525"/>
                  <wp:effectExtent l="0" t="0" r="0" b="635"/>
                  <wp:wrapNone/>
                  <wp:docPr id="163" name="文本框 36"/>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303"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698176" behindDoc="0" locked="0" layoutInCell="1" allowOverlap="1">
                  <wp:simplePos x="0" y="0"/>
                  <wp:positionH relativeFrom="column">
                    <wp:posOffset>190500</wp:posOffset>
                  </wp:positionH>
                  <wp:positionV relativeFrom="paragraph">
                    <wp:posOffset>0</wp:posOffset>
                  </wp:positionV>
                  <wp:extent cx="0" cy="9525"/>
                  <wp:effectExtent l="0" t="0" r="0" b="635"/>
                  <wp:wrapNone/>
                  <wp:docPr id="164" name="文本框 38"/>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306"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700224" behindDoc="0" locked="0" layoutInCell="1" allowOverlap="1">
                  <wp:simplePos x="0" y="0"/>
                  <wp:positionH relativeFrom="column">
                    <wp:posOffset>190500</wp:posOffset>
                  </wp:positionH>
                  <wp:positionV relativeFrom="paragraph">
                    <wp:posOffset>0</wp:posOffset>
                  </wp:positionV>
                  <wp:extent cx="0" cy="9525"/>
                  <wp:effectExtent l="0" t="0" r="0" b="635"/>
                  <wp:wrapNone/>
                  <wp:docPr id="165" name="文本框 40"/>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309"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ascii="宋体" w:hAnsi="宋体" w:cs="宋体"/>
                <w:color w:val="000000"/>
                <w:kern w:val="0"/>
                <w:sz w:val="36"/>
                <w:szCs w:val="36"/>
              </w:rPr>
              <w:drawing>
                <wp:anchor distT="0" distB="0" distL="114300" distR="114300" simplePos="0" relativeHeight="251702272" behindDoc="0" locked="0" layoutInCell="1" allowOverlap="1">
                  <wp:simplePos x="0" y="0"/>
                  <wp:positionH relativeFrom="column">
                    <wp:posOffset>190500</wp:posOffset>
                  </wp:positionH>
                  <wp:positionV relativeFrom="paragraph">
                    <wp:posOffset>0</wp:posOffset>
                  </wp:positionV>
                  <wp:extent cx="0" cy="9525"/>
                  <wp:effectExtent l="0" t="0" r="0" b="635"/>
                  <wp:wrapNone/>
                  <wp:docPr id="166" name="文本框 42"/>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61950" y="0"/>
                            <a:ext cx="0" cy="9525"/>
                            <a:chOff x="361950" y="0"/>
                            <a:chExt cx="0" cy="9525"/>
                          </a:xfrm>
                        </a:grpSpPr>
                        <a:sp>
                          <a:nvSpPr>
                            <a:cNvPr id="312" name="文字 1519"/>
                            <a:cNvSpPr txBox="1">
                              <a:spLocks noChangeArrowheads="1"/>
                            </a:cNvSpPr>
                          </a:nvSpPr>
                          <a:spPr>
                            <a:xfrm>
                              <a:off x="361950" y="0"/>
                              <a:ext cx="0" cy="9525"/>
                            </a:xfrm>
                            <a:prstGeom prst="rect">
                              <a:avLst/>
                            </a:prstGeom>
                            <a:noFill/>
                            <a:ln>
                              <a:noFill/>
                            </a:ln>
                          </a:spPr>
                          <a:txSp>
                            <a:txBody>
                              <a:bodyPr vertOverflow="clip" wrap="square" lIns="27432" tIns="18288" rIns="27432" bIns="18288"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0"/>
                                <a:r>
                                  <a:rPr lang="zh-CN" altLang="en-US" sz="700" b="0" i="0" u="none" strike="noStrike" baseline="0">
                                    <a:solidFill>
                                      <a:srgbClr val="000000"/>
                                    </a:solidFill>
                                    <a:latin typeface="宋体" panose="02010600030101010101" charset="-122"/>
                                    <a:ea typeface="宋体" panose="02010600030101010101" charset="-122"/>
                                  </a:rPr>
                                  <a:t> 设计阶段</a:t>
                                </a:r>
                                <a:endParaRPr lang="zh-CN" altLang="en-US" sz="700" b="0" i="0" u="none" strike="noStrike" baseline="0">
                                  <a:solidFill>
                                    <a:srgbClr val="000000"/>
                                  </a:solidFill>
                                  <a:latin typeface="宋体" panose="02010600030101010101" charset="-122"/>
                                  <a:ea typeface="宋体" panose="02010600030101010101" charset="-122"/>
                                </a:endParaRPr>
                              </a:p>
                              <a:p>
                                <a:pPr algn="ctr" rtl="0"/>
                                <a:r>
                                  <a:rPr lang="zh-CN" altLang="en-US" sz="700" b="0" i="0" u="none" strike="noStrike" baseline="0">
                                    <a:solidFill>
                                      <a:srgbClr val="000000"/>
                                    </a:solidFill>
                                    <a:latin typeface="宋体" panose="02010600030101010101" charset="-122"/>
                                    <a:ea typeface="宋体" panose="02010600030101010101" charset="-122"/>
                                  </a:rPr>
                                  <a:t> STAGE</a:t>
                                </a:r>
                                <a:endParaRPr lang="zh-CN" altLang="en-US" sz="700" b="0" i="0" u="none" strike="noStrike" baseline="0">
                                  <a:solidFill>
                                    <a:srgbClr val="000000"/>
                                  </a:solidFill>
                                  <a:latin typeface="宋体" panose="02010600030101010101" charset="-122"/>
                                  <a:ea typeface="宋体" panose="02010600030101010101" charset="-122"/>
                                </a:endParaRPr>
                              </a:p>
                            </a:txBody>
                            <a:useSpRect/>
                          </a:txSp>
                        </a:sp>
                      </lc:lockedCanvas>
                    </a:graphicData>
                  </a:graphic>
                </wp:anchor>
              </w:drawing>
            </w:r>
            <w:r>
              <w:rPr>
                <w:rFonts w:hint="eastAsia" w:ascii="宋体" w:hAnsi="宋体" w:cs="宋体"/>
                <w:color w:val="000000"/>
                <w:kern w:val="0"/>
                <w:sz w:val="36"/>
                <w:szCs w:val="36"/>
              </w:rPr>
              <w:t xml:space="preserve">SIS系统新增液位开关                                 </w:t>
            </w:r>
            <w:r>
              <w:rPr>
                <w:rFonts w:hint="eastAsia" w:ascii="宋体" w:hAnsi="宋体" w:cs="宋体"/>
                <w:color w:val="000000"/>
                <w:kern w:val="0"/>
                <w:sz w:val="36"/>
                <w:szCs w:val="36"/>
              </w:rPr>
              <w:br w:type="textWrapping"/>
            </w:r>
            <w:r>
              <w:rPr>
                <w:rFonts w:hint="eastAsia" w:ascii="宋体" w:hAnsi="宋体" w:cs="宋体"/>
                <w:color w:val="000000"/>
                <w:kern w:val="0"/>
                <w:sz w:val="36"/>
                <w:szCs w:val="36"/>
              </w:rPr>
              <w:t>仪表数据表</w:t>
            </w:r>
          </w:p>
        </w:tc>
      </w:tr>
      <w:tr>
        <w:tblPrEx>
          <w:tblCellMar>
            <w:top w:w="0" w:type="dxa"/>
            <w:left w:w="108" w:type="dxa"/>
            <w:bottom w:w="0" w:type="dxa"/>
            <w:right w:w="108" w:type="dxa"/>
          </w:tblCellMar>
        </w:tblPrEx>
        <w:trPr>
          <w:trHeight w:val="334" w:hRule="atLeast"/>
        </w:trPr>
        <w:tc>
          <w:tcPr>
            <w:tcW w:w="1995" w:type="pct"/>
            <w:gridSpan w:val="11"/>
            <w:vMerge w:val="restart"/>
            <w:tcBorders>
              <w:top w:val="single" w:color="auto" w:sz="4" w:space="0"/>
              <w:left w:val="single" w:color="auto" w:sz="8" w:space="0"/>
              <w:bottom w:val="single" w:color="000000" w:sz="4" w:space="0"/>
              <w:right w:val="nil"/>
            </w:tcBorders>
            <w:shd w:val="clear" w:color="auto" w:fill="auto"/>
            <w:noWrap/>
            <w:vAlign w:val="center"/>
          </w:tcPr>
          <w:p>
            <w:pPr>
              <w:widowControl/>
              <w:jc w:val="left"/>
              <w:rPr>
                <w:rFonts w:ascii="宋体" w:hAnsi="宋体" w:cs="宋体"/>
                <w:color w:val="000000"/>
                <w:kern w:val="0"/>
                <w:sz w:val="20"/>
              </w:rPr>
            </w:pPr>
            <w:r>
              <w:rPr>
                <w:rFonts w:hint="eastAsia" w:ascii="宋体" w:hAnsi="宋体" w:cs="宋体"/>
                <w:color w:val="000000"/>
                <w:kern w:val="0"/>
                <w:sz w:val="20"/>
              </w:rPr>
              <w:t>用途  SERVICE</w:t>
            </w:r>
          </w:p>
        </w:tc>
        <w:tc>
          <w:tcPr>
            <w:tcW w:w="1319" w:type="pct"/>
            <w:gridSpan w:val="9"/>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液位高位报警</w:t>
            </w:r>
          </w:p>
        </w:tc>
        <w:tc>
          <w:tcPr>
            <w:tcW w:w="823" w:type="pct"/>
            <w:gridSpan w:val="11"/>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61" w:type="pct"/>
            <w:gridSpan w:val="13"/>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34" w:hRule="atLeast"/>
        </w:trPr>
        <w:tc>
          <w:tcPr>
            <w:tcW w:w="1995" w:type="pct"/>
            <w:gridSpan w:val="11"/>
            <w:vMerge w:val="continue"/>
            <w:tcBorders>
              <w:top w:val="single" w:color="auto" w:sz="4" w:space="0"/>
              <w:left w:val="single" w:color="auto" w:sz="8" w:space="0"/>
              <w:bottom w:val="single" w:color="000000" w:sz="4" w:space="0"/>
              <w:right w:val="nil"/>
            </w:tcBorders>
            <w:vAlign w:val="center"/>
          </w:tcPr>
          <w:p>
            <w:pPr>
              <w:widowControl/>
              <w:jc w:val="left"/>
              <w:rPr>
                <w:rFonts w:ascii="宋体" w:hAnsi="宋体" w:cs="宋体"/>
                <w:color w:val="000000"/>
                <w:kern w:val="0"/>
                <w:sz w:val="20"/>
              </w:rPr>
            </w:pPr>
          </w:p>
        </w:tc>
        <w:tc>
          <w:tcPr>
            <w:tcW w:w="1319" w:type="pct"/>
            <w:gridSpan w:val="9"/>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cs="宋体"/>
                <w:color w:val="000000"/>
                <w:kern w:val="0"/>
                <w:sz w:val="20"/>
              </w:rPr>
            </w:pPr>
          </w:p>
        </w:tc>
        <w:tc>
          <w:tcPr>
            <w:tcW w:w="823" w:type="pct"/>
            <w:gridSpan w:val="11"/>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宋体"/>
                <w:color w:val="000000"/>
                <w:kern w:val="0"/>
                <w:sz w:val="20"/>
              </w:rPr>
            </w:pPr>
          </w:p>
        </w:tc>
        <w:tc>
          <w:tcPr>
            <w:tcW w:w="861" w:type="pct"/>
            <w:gridSpan w:val="1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rPr>
            </w:pPr>
          </w:p>
        </w:tc>
      </w:tr>
      <w:tr>
        <w:tblPrEx>
          <w:tblCellMar>
            <w:top w:w="0" w:type="dxa"/>
            <w:left w:w="108" w:type="dxa"/>
            <w:bottom w:w="0" w:type="dxa"/>
            <w:right w:w="108" w:type="dxa"/>
          </w:tblCellMar>
        </w:tblPrEx>
        <w:trPr>
          <w:trHeight w:val="334" w:hRule="atLeast"/>
        </w:trPr>
        <w:tc>
          <w:tcPr>
            <w:tcW w:w="895" w:type="pct"/>
            <w:gridSpan w:val="4"/>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数量（套）</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color w:val="000000"/>
                <w:kern w:val="0"/>
                <w:sz w:val="20"/>
              </w:rPr>
            </w:pPr>
            <w:r>
              <w:rPr>
                <w:color w:val="000000"/>
                <w:kern w:val="0"/>
                <w:sz w:val="20"/>
              </w:rPr>
              <w:t>4</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4428" w:type="pct"/>
            <w:gridSpan w:val="36"/>
            <w:tcBorders>
              <w:top w:val="nil"/>
              <w:left w:val="single" w:color="auto" w:sz="8" w:space="0"/>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操作条件 OPERATING CONDITIONS</w:t>
            </w:r>
          </w:p>
        </w:tc>
        <w:tc>
          <w:tcPr>
            <w:tcW w:w="136" w:type="pct"/>
            <w:gridSpan w:val="2"/>
            <w:tcBorders>
              <w:top w:val="nil"/>
              <w:left w:val="single" w:color="auto" w:sz="4"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1"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34" w:hRule="atLeast"/>
        </w:trPr>
        <w:tc>
          <w:tcPr>
            <w:tcW w:w="1563" w:type="pct"/>
            <w:gridSpan w:val="8"/>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工艺介质 PROCESS FLUID</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甲醇、乙醇</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34" w:hRule="atLeast"/>
        </w:trPr>
        <w:tc>
          <w:tcPr>
            <w:tcW w:w="1711" w:type="pct"/>
            <w:gridSpan w:val="9"/>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操作压力 OPER.PRES.MPa(G)</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常压</w:t>
            </w:r>
          </w:p>
        </w:tc>
        <w:tc>
          <w:tcPr>
            <w:tcW w:w="136" w:type="pct"/>
            <w:gridSpan w:val="2"/>
            <w:tcBorders>
              <w:top w:val="nil"/>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7" w:type="pct"/>
            <w:gridSpan w:val="2"/>
            <w:tcBorders>
              <w:top w:val="nil"/>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45" w:type="pct"/>
            <w:gridSpan w:val="2"/>
            <w:tcBorders>
              <w:top w:val="nil"/>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45" w:type="pct"/>
            <w:gridSpan w:val="2"/>
            <w:tcBorders>
              <w:top w:val="nil"/>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6" w:type="pct"/>
            <w:gridSpan w:val="3"/>
            <w:tcBorders>
              <w:top w:val="nil"/>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48" w:type="pct"/>
            <w:gridSpan w:val="2"/>
            <w:tcBorders>
              <w:top w:val="nil"/>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52" w:type="pct"/>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34" w:hRule="atLeast"/>
        </w:trPr>
        <w:tc>
          <w:tcPr>
            <w:tcW w:w="1711" w:type="pct"/>
            <w:gridSpan w:val="9"/>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操作温度 OPER.TEMPER.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color w:val="000000"/>
                <w:kern w:val="0"/>
                <w:sz w:val="20"/>
              </w:rPr>
            </w:pPr>
            <w:r>
              <w:rPr>
                <w:color w:val="000000"/>
                <w:kern w:val="0"/>
                <w:sz w:val="20"/>
              </w:rPr>
              <w:t>-15~40</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670" w:type="pct"/>
            <w:gridSpan w:val="3"/>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储罐型式</w:t>
            </w:r>
          </w:p>
        </w:tc>
        <w:tc>
          <w:tcPr>
            <w:tcW w:w="224"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钢制内浮顶立式储罐</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670" w:type="pct"/>
            <w:gridSpan w:val="3"/>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储罐材质</w:t>
            </w:r>
          </w:p>
        </w:tc>
        <w:tc>
          <w:tcPr>
            <w:tcW w:w="224"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7" w:type="pct"/>
            <w:tcBorders>
              <w:top w:val="nil"/>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508" w:type="pct"/>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16MnR</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3"/>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48"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61" w:type="pct"/>
            <w:gridSpan w:val="2"/>
            <w:tcBorders>
              <w:top w:val="nil"/>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670" w:type="pct"/>
            <w:gridSpan w:val="3"/>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储罐高度</w:t>
            </w:r>
          </w:p>
        </w:tc>
        <w:tc>
          <w:tcPr>
            <w:tcW w:w="224"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color w:val="000000"/>
                <w:kern w:val="0"/>
                <w:sz w:val="20"/>
              </w:rPr>
            </w:pPr>
            <w:r>
              <w:rPr>
                <w:color w:val="000000"/>
                <w:kern w:val="0"/>
                <w:sz w:val="20"/>
              </w:rPr>
              <w:t>19874 (16600)mm</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7"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45"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45"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3"/>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48"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52" w:type="pct"/>
            <w:tcBorders>
              <w:top w:val="nil"/>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670" w:type="pct"/>
            <w:gridSpan w:val="3"/>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储罐壁厚</w:t>
            </w:r>
          </w:p>
        </w:tc>
        <w:tc>
          <w:tcPr>
            <w:tcW w:w="224"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color w:val="000000"/>
                <w:kern w:val="0"/>
                <w:sz w:val="20"/>
              </w:rPr>
            </w:pPr>
            <w:r>
              <w:rPr>
                <w:color w:val="000000"/>
                <w:kern w:val="0"/>
                <w:sz w:val="20"/>
              </w:rPr>
              <w:t>14mm</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7"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45"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45"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3"/>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48"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52" w:type="pct"/>
            <w:tcBorders>
              <w:top w:val="nil"/>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670" w:type="pct"/>
            <w:gridSpan w:val="3"/>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联锁液位</w:t>
            </w:r>
          </w:p>
        </w:tc>
        <w:tc>
          <w:tcPr>
            <w:tcW w:w="224"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color w:val="000000"/>
                <w:kern w:val="0"/>
                <w:sz w:val="20"/>
              </w:rPr>
            </w:pPr>
            <w:r>
              <w:rPr>
                <w:color w:val="000000"/>
                <w:kern w:val="0"/>
                <w:sz w:val="20"/>
              </w:rPr>
              <w:t>12750mm</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4428" w:type="pct"/>
            <w:gridSpan w:val="36"/>
            <w:tcBorders>
              <w:top w:val="nil"/>
              <w:left w:val="single" w:color="auto" w:sz="8" w:space="0"/>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传感器/探头规格 SESOR&amp;PROBE SPECIFICATION</w:t>
            </w:r>
          </w:p>
        </w:tc>
        <w:tc>
          <w:tcPr>
            <w:tcW w:w="136" w:type="pct"/>
            <w:gridSpan w:val="2"/>
            <w:tcBorders>
              <w:top w:val="nil"/>
              <w:left w:val="single" w:color="auto" w:sz="4"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1"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34" w:hRule="atLeast"/>
        </w:trPr>
        <w:tc>
          <w:tcPr>
            <w:tcW w:w="895" w:type="pct"/>
            <w:gridSpan w:val="4"/>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型号 MODEL</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7"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5"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5"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6" w:type="pct"/>
            <w:gridSpan w:val="3"/>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8"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52"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34" w:hRule="atLeast"/>
        </w:trPr>
        <w:tc>
          <w:tcPr>
            <w:tcW w:w="895" w:type="pct"/>
            <w:gridSpan w:val="4"/>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形式 TYPE</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磁性吸附式</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1711" w:type="pct"/>
            <w:gridSpan w:val="9"/>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测量范围 MEAS. RANGE (mm)</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液位远传报警联锁</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1063" w:type="pct"/>
            <w:gridSpan w:val="5"/>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精度 ACCURACY</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color w:val="000000"/>
                <w:kern w:val="0"/>
                <w:sz w:val="20"/>
              </w:rPr>
            </w:pPr>
            <w:r>
              <w:rPr>
                <w:color w:val="000000"/>
                <w:kern w:val="0"/>
                <w:sz w:val="20"/>
              </w:rPr>
              <w:t>±1mm</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1853" w:type="pct"/>
            <w:gridSpan w:val="10"/>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探头材质 CONVERTER MATERIAL</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PBT</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1563" w:type="pct"/>
            <w:gridSpan w:val="8"/>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本体材质 BODY MATERIAL</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铸铝合金</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1563" w:type="pct"/>
            <w:gridSpan w:val="8"/>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安装方式 MOUNTING TYPE</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kern w:val="0"/>
                <w:sz w:val="20"/>
              </w:rPr>
            </w:pPr>
            <w:r>
              <w:rPr>
                <w:rFonts w:hint="eastAsia" w:ascii="宋体" w:hAnsi="宋体" w:cs="宋体"/>
                <w:kern w:val="0"/>
                <w:sz w:val="20"/>
              </w:rPr>
              <w:t>外贴式、磁吸</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kern w:val="0"/>
                <w:sz w:val="20"/>
              </w:rPr>
            </w:pPr>
            <w:r>
              <w:rPr>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kern w:val="0"/>
                <w:sz w:val="20"/>
              </w:rPr>
            </w:pPr>
            <w:r>
              <w:rPr>
                <w:kern w:val="0"/>
                <w:sz w:val="20"/>
              </w:rPr>
              <w:t>　</w:t>
            </w:r>
          </w:p>
        </w:tc>
      </w:tr>
      <w:tr>
        <w:tblPrEx>
          <w:tblCellMar>
            <w:top w:w="0" w:type="dxa"/>
            <w:left w:w="108" w:type="dxa"/>
            <w:bottom w:w="0" w:type="dxa"/>
            <w:right w:w="108" w:type="dxa"/>
          </w:tblCellMar>
        </w:tblPrEx>
        <w:trPr>
          <w:trHeight w:val="334" w:hRule="atLeast"/>
        </w:trPr>
        <w:tc>
          <w:tcPr>
            <w:tcW w:w="1853" w:type="pct"/>
            <w:gridSpan w:val="10"/>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底部固定件 BOTTOM FASTENER</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kern w:val="0"/>
                <w:sz w:val="20"/>
              </w:rPr>
            </w:pPr>
            <w:r>
              <w:rPr>
                <w:rFonts w:hint="eastAsia" w:ascii="宋体" w:hAnsi="宋体" w:cs="宋体"/>
                <w:kern w:val="0"/>
                <w:sz w:val="20"/>
              </w:rPr>
              <w:t>带</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kern w:val="0"/>
                <w:sz w:val="20"/>
              </w:rPr>
            </w:pPr>
            <w:r>
              <w:rPr>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kern w:val="0"/>
                <w:sz w:val="20"/>
              </w:rPr>
            </w:pPr>
            <w:r>
              <w:rPr>
                <w:kern w:val="0"/>
                <w:sz w:val="20"/>
              </w:rPr>
              <w:t>　</w:t>
            </w:r>
          </w:p>
        </w:tc>
      </w:tr>
      <w:tr>
        <w:tblPrEx>
          <w:tblCellMar>
            <w:top w:w="0" w:type="dxa"/>
            <w:left w:w="108" w:type="dxa"/>
            <w:bottom w:w="0" w:type="dxa"/>
            <w:right w:w="108" w:type="dxa"/>
          </w:tblCellMar>
        </w:tblPrEx>
        <w:trPr>
          <w:trHeight w:val="334" w:hRule="atLeast"/>
        </w:trPr>
        <w:tc>
          <w:tcPr>
            <w:tcW w:w="4428" w:type="pct"/>
            <w:gridSpan w:val="36"/>
            <w:tcBorders>
              <w:top w:val="nil"/>
              <w:left w:val="single" w:color="auto" w:sz="8" w:space="0"/>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变送器规格 TRANSMITTER SPECIFICATION</w:t>
            </w:r>
          </w:p>
        </w:tc>
        <w:tc>
          <w:tcPr>
            <w:tcW w:w="136" w:type="pct"/>
            <w:gridSpan w:val="2"/>
            <w:tcBorders>
              <w:top w:val="nil"/>
              <w:left w:val="single" w:color="auto" w:sz="4"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1"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34" w:hRule="atLeast"/>
        </w:trPr>
        <w:tc>
          <w:tcPr>
            <w:tcW w:w="895" w:type="pct"/>
            <w:gridSpan w:val="4"/>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型号 MODEL</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kern w:val="0"/>
                <w:sz w:val="20"/>
              </w:rPr>
            </w:pPr>
            <w:r>
              <w:rPr>
                <w:kern w:val="0"/>
                <w:sz w:val="20"/>
              </w:rPr>
              <w:t>　</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kern w:val="0"/>
                <w:sz w:val="20"/>
              </w:rPr>
            </w:pPr>
            <w:r>
              <w:rPr>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kern w:val="0"/>
                <w:sz w:val="20"/>
              </w:rPr>
            </w:pPr>
            <w:r>
              <w:rPr>
                <w:kern w:val="0"/>
                <w:sz w:val="20"/>
              </w:rPr>
              <w:t>　</w:t>
            </w:r>
          </w:p>
        </w:tc>
      </w:tr>
      <w:tr>
        <w:tblPrEx>
          <w:tblCellMar>
            <w:top w:w="0" w:type="dxa"/>
            <w:left w:w="108" w:type="dxa"/>
            <w:bottom w:w="0" w:type="dxa"/>
            <w:right w:w="108" w:type="dxa"/>
          </w:tblCellMar>
        </w:tblPrEx>
        <w:trPr>
          <w:trHeight w:val="334" w:hRule="atLeast"/>
        </w:trPr>
        <w:tc>
          <w:tcPr>
            <w:tcW w:w="1563" w:type="pct"/>
            <w:gridSpan w:val="8"/>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输出信号 OUTPUT SIGNAL</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继电器DPDT</w:t>
            </w:r>
            <w:r>
              <w:rPr>
                <w:color w:val="000000"/>
                <w:kern w:val="0"/>
                <w:sz w:val="20"/>
              </w:rPr>
              <w:t xml:space="preserve">  </w:t>
            </w:r>
            <w:r>
              <w:rPr>
                <w:rFonts w:hint="eastAsia" w:ascii="宋体" w:hAnsi="宋体" w:cs="宋体"/>
                <w:color w:val="000000"/>
                <w:kern w:val="0"/>
                <w:sz w:val="20"/>
              </w:rPr>
              <w:t>四线制</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1563" w:type="pct"/>
            <w:gridSpan w:val="8"/>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本体材质 BODY MATERIAL</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铸铝合金</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kern w:val="0"/>
                <w:sz w:val="20"/>
              </w:rPr>
            </w:pPr>
            <w:r>
              <w:rPr>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kern w:val="0"/>
                <w:sz w:val="20"/>
              </w:rPr>
            </w:pPr>
            <w:r>
              <w:rPr>
                <w:kern w:val="0"/>
                <w:sz w:val="20"/>
              </w:rPr>
              <w:t>　</w:t>
            </w:r>
          </w:p>
        </w:tc>
      </w:tr>
      <w:tr>
        <w:tblPrEx>
          <w:tblCellMar>
            <w:top w:w="0" w:type="dxa"/>
            <w:left w:w="108" w:type="dxa"/>
            <w:bottom w:w="0" w:type="dxa"/>
            <w:right w:w="108" w:type="dxa"/>
          </w:tblCellMar>
        </w:tblPrEx>
        <w:trPr>
          <w:trHeight w:val="334" w:hRule="atLeast"/>
        </w:trPr>
        <w:tc>
          <w:tcPr>
            <w:tcW w:w="1396" w:type="pct"/>
            <w:gridSpan w:val="7"/>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电源 POWER SUPPLY</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24V DC</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　</w:t>
            </w:r>
          </w:p>
        </w:tc>
      </w:tr>
      <w:tr>
        <w:tblPrEx>
          <w:tblCellMar>
            <w:top w:w="0" w:type="dxa"/>
            <w:left w:w="108" w:type="dxa"/>
            <w:bottom w:w="0" w:type="dxa"/>
            <w:right w:w="108" w:type="dxa"/>
          </w:tblCellMar>
        </w:tblPrEx>
        <w:trPr>
          <w:trHeight w:val="334" w:hRule="atLeast"/>
        </w:trPr>
        <w:tc>
          <w:tcPr>
            <w:tcW w:w="1995" w:type="pct"/>
            <w:gridSpan w:val="11"/>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电气接口尺寸 ELEC. CONN. SIZE</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color w:val="000000"/>
                <w:kern w:val="0"/>
                <w:sz w:val="20"/>
              </w:rPr>
            </w:pPr>
            <w:r>
              <w:rPr>
                <w:color w:val="000000"/>
                <w:kern w:val="0"/>
                <w:sz w:val="20"/>
              </w:rPr>
              <w:t>1/2"NPT(F)</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1853" w:type="pct"/>
            <w:gridSpan w:val="10"/>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防爆等级 Ex. CERTIFICATION</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kern w:val="0"/>
                <w:sz w:val="20"/>
              </w:rPr>
            </w:pPr>
            <w:r>
              <w:rPr>
                <w:rFonts w:hint="eastAsia" w:ascii="宋体" w:hAnsi="宋体" w:cs="宋体"/>
                <w:kern w:val="0"/>
                <w:sz w:val="20"/>
              </w:rPr>
              <w:t>不低于</w:t>
            </w:r>
            <w:r>
              <w:rPr>
                <w:kern w:val="0"/>
                <w:sz w:val="20"/>
              </w:rPr>
              <w:t xml:space="preserve">Ex d </w:t>
            </w:r>
            <w:r>
              <w:rPr>
                <w:rFonts w:hint="eastAsia" w:ascii="宋体" w:hAnsi="宋体" w:cs="宋体"/>
                <w:kern w:val="0"/>
                <w:sz w:val="20"/>
              </w:rPr>
              <w:t>Ⅱ</w:t>
            </w:r>
            <w:r>
              <w:rPr>
                <w:kern w:val="0"/>
                <w:sz w:val="20"/>
              </w:rPr>
              <w:t>BT4</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1711" w:type="pct"/>
            <w:gridSpan w:val="9"/>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防护等级 PROTECTION CLASS</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不低于</w:t>
            </w:r>
            <w:r>
              <w:rPr>
                <w:color w:val="000000"/>
                <w:kern w:val="0"/>
                <w:sz w:val="20"/>
              </w:rPr>
              <w:t>IP65</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1563" w:type="pct"/>
            <w:gridSpan w:val="8"/>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xml:space="preserve">连接电缆 CONN. CABLE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color w:val="000000"/>
                <w:kern w:val="0"/>
                <w:sz w:val="20"/>
              </w:rPr>
            </w:pPr>
            <w:r>
              <w:rPr>
                <w:color w:val="000000"/>
                <w:kern w:val="0"/>
                <w:sz w:val="20"/>
              </w:rPr>
              <w:t>30m</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1563" w:type="pct"/>
            <w:gridSpan w:val="8"/>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安装方式 MOUNTING TYPE</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color w:val="000000"/>
                <w:kern w:val="0"/>
                <w:sz w:val="20"/>
              </w:rPr>
            </w:pPr>
            <w:r>
              <w:rPr>
                <w:color w:val="000000"/>
                <w:kern w:val="0"/>
                <w:sz w:val="20"/>
              </w:rPr>
              <w:t>2”</w:t>
            </w:r>
            <w:r>
              <w:rPr>
                <w:rFonts w:hint="eastAsia" w:ascii="宋体" w:hAnsi="宋体"/>
                <w:color w:val="000000"/>
                <w:kern w:val="0"/>
                <w:sz w:val="20"/>
              </w:rPr>
              <w:t>立管，带安装支架</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1853" w:type="pct"/>
            <w:gridSpan w:val="10"/>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防雷保护 LIGHTING PROTECTION</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防雷防浪涌</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670" w:type="pct"/>
            <w:gridSpan w:val="3"/>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SIL认证</w:t>
            </w:r>
          </w:p>
        </w:tc>
        <w:tc>
          <w:tcPr>
            <w:tcW w:w="224"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color w:val="000000"/>
                <w:kern w:val="0"/>
                <w:sz w:val="20"/>
              </w:rPr>
            </w:pPr>
            <w:r>
              <w:rPr>
                <w:color w:val="000000"/>
                <w:kern w:val="0"/>
                <w:sz w:val="20"/>
              </w:rPr>
              <w:t>SIL2</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1063" w:type="pct"/>
            <w:gridSpan w:val="5"/>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故障诊断输出</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带</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7"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45"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45"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3"/>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48"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36" w:type="pct"/>
            <w:gridSpan w:val="2"/>
            <w:tcBorders>
              <w:top w:val="nil"/>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152" w:type="pct"/>
            <w:tcBorders>
              <w:top w:val="nil"/>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293" w:hRule="atLeast"/>
        </w:trPr>
        <w:tc>
          <w:tcPr>
            <w:tcW w:w="1230" w:type="pct"/>
            <w:gridSpan w:val="6"/>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xml:space="preserve">附件 ACCESSORY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ascii="宋体" w:hAnsi="宋体" w:cs="宋体"/>
                <w:color w:val="000000"/>
                <w:kern w:val="0"/>
                <w:sz w:val="20"/>
              </w:rPr>
            </w:pPr>
            <w:r>
              <w:rPr>
                <w:rFonts w:hint="eastAsia" w:ascii="宋体" w:hAnsi="宋体" w:cs="宋体"/>
                <w:color w:val="000000"/>
                <w:kern w:val="0"/>
                <w:sz w:val="20"/>
              </w:rPr>
              <w:t>真空硅脂、砂纸</w:t>
            </w:r>
          </w:p>
        </w:tc>
        <w:tc>
          <w:tcPr>
            <w:tcW w:w="823" w:type="pct"/>
            <w:gridSpan w:val="11"/>
            <w:tcBorders>
              <w:top w:val="single" w:color="auto" w:sz="4" w:space="0"/>
              <w:left w:val="nil"/>
              <w:bottom w:val="single" w:color="auto" w:sz="4" w:space="0"/>
              <w:right w:val="nil"/>
            </w:tcBorders>
            <w:shd w:val="clear" w:color="auto" w:fill="auto"/>
            <w:noWrap/>
            <w:vAlign w:val="bottom"/>
          </w:tcPr>
          <w:p>
            <w:pPr>
              <w:widowControl/>
              <w:jc w:val="center"/>
              <w:rPr>
                <w:color w:val="000000"/>
                <w:kern w:val="0"/>
                <w:sz w:val="20"/>
              </w:rPr>
            </w:pPr>
            <w:r>
              <w:rPr>
                <w:color w:val="000000"/>
                <w:kern w:val="0"/>
                <w:sz w:val="20"/>
              </w:rPr>
              <w:t>　</w:t>
            </w:r>
          </w:p>
        </w:tc>
        <w:tc>
          <w:tcPr>
            <w:tcW w:w="861" w:type="pct"/>
            <w:gridSpan w:val="13"/>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70" w:hRule="atLeast"/>
        </w:trPr>
        <w:tc>
          <w:tcPr>
            <w:tcW w:w="670" w:type="pct"/>
            <w:gridSpan w:val="3"/>
            <w:tcBorders>
              <w:top w:val="nil"/>
              <w:left w:val="single" w:color="auto" w:sz="8" w:space="0"/>
              <w:bottom w:val="single" w:color="auto" w:sz="4" w:space="0"/>
              <w:right w:val="nil"/>
            </w:tcBorders>
            <w:shd w:val="clear" w:color="auto" w:fill="auto"/>
            <w:noWrap/>
            <w:vAlign w:val="center"/>
          </w:tcPr>
          <w:p>
            <w:pPr>
              <w:widowControl/>
              <w:jc w:val="left"/>
              <w:rPr>
                <w:rFonts w:ascii="宋体" w:hAnsi="宋体" w:cs="宋体"/>
                <w:color w:val="000000"/>
                <w:kern w:val="0"/>
                <w:sz w:val="20"/>
              </w:rPr>
            </w:pPr>
            <w:r>
              <w:rPr>
                <w:rFonts w:hint="eastAsia" w:ascii="宋体" w:hAnsi="宋体" w:cs="宋体"/>
                <w:color w:val="000000"/>
                <w:kern w:val="0"/>
                <w:sz w:val="20"/>
              </w:rPr>
              <w:t>防腐等级</w:t>
            </w:r>
          </w:p>
        </w:tc>
        <w:tc>
          <w:tcPr>
            <w:tcW w:w="224"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319" w:type="pct"/>
            <w:gridSpan w:val="9"/>
            <w:tcBorders>
              <w:top w:val="single" w:color="auto" w:sz="4" w:space="0"/>
              <w:left w:val="single" w:color="auto" w:sz="4" w:space="0"/>
              <w:bottom w:val="single" w:color="auto" w:sz="4" w:space="0"/>
              <w:right w:val="single" w:color="000000" w:sz="4" w:space="0"/>
            </w:tcBorders>
            <w:shd w:val="clear" w:color="auto" w:fill="auto"/>
            <w:noWrap/>
            <w:vAlign w:val="bottom"/>
          </w:tcPr>
          <w:p>
            <w:pPr>
              <w:widowControl/>
              <w:jc w:val="center"/>
              <w:rPr>
                <w:color w:val="000000"/>
                <w:kern w:val="0"/>
                <w:sz w:val="20"/>
              </w:rPr>
            </w:pPr>
            <w:r>
              <w:rPr>
                <w:color w:val="000000"/>
                <w:kern w:val="0"/>
                <w:sz w:val="20"/>
              </w:rPr>
              <w:t>WF2</w:t>
            </w:r>
          </w:p>
        </w:tc>
        <w:tc>
          <w:tcPr>
            <w:tcW w:w="136" w:type="pct"/>
            <w:gridSpan w:val="2"/>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6" w:type="pct"/>
            <w:gridSpan w:val="2"/>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7" w:type="pct"/>
            <w:gridSpan w:val="2"/>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45" w:type="pct"/>
            <w:gridSpan w:val="2"/>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45" w:type="pct"/>
            <w:gridSpan w:val="2"/>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136" w:type="pct"/>
            <w:gridSpan w:val="3"/>
            <w:tcBorders>
              <w:top w:val="nil"/>
              <w:left w:val="nil"/>
              <w:bottom w:val="single" w:color="auto" w:sz="4" w:space="0"/>
              <w:right w:val="nil"/>
            </w:tcBorders>
            <w:shd w:val="clear" w:color="auto" w:fill="auto"/>
            <w:vAlign w:val="center"/>
          </w:tcPr>
          <w:p>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847" w:type="pct"/>
            <w:gridSpan w:val="11"/>
            <w:tcBorders>
              <w:top w:val="single" w:color="auto" w:sz="4" w:space="0"/>
              <w:left w:val="nil"/>
              <w:bottom w:val="single" w:color="auto" w:sz="4" w:space="0"/>
              <w:right w:val="single" w:color="auto" w:sz="4" w:space="0"/>
            </w:tcBorders>
            <w:shd w:val="clear" w:color="auto" w:fill="auto"/>
            <w:noWrap/>
            <w:vAlign w:val="bottom"/>
          </w:tcPr>
          <w:p>
            <w:pPr>
              <w:widowControl/>
              <w:jc w:val="center"/>
              <w:rPr>
                <w:color w:val="000000"/>
                <w:kern w:val="0"/>
                <w:sz w:val="20"/>
              </w:rPr>
            </w:pPr>
            <w:r>
              <w:rPr>
                <w:color w:val="000000"/>
                <w:kern w:val="0"/>
                <w:sz w:val="20"/>
              </w:rPr>
              <w:t>　</w:t>
            </w:r>
          </w:p>
        </w:tc>
      </w:tr>
      <w:tr>
        <w:tblPrEx>
          <w:tblCellMar>
            <w:top w:w="0" w:type="dxa"/>
            <w:left w:w="108" w:type="dxa"/>
            <w:bottom w:w="0" w:type="dxa"/>
            <w:right w:w="108" w:type="dxa"/>
          </w:tblCellMar>
        </w:tblPrEx>
        <w:trPr>
          <w:trHeight w:val="334" w:hRule="atLeast"/>
        </w:trPr>
        <w:tc>
          <w:tcPr>
            <w:tcW w:w="1063" w:type="pct"/>
            <w:gridSpan w:val="5"/>
            <w:tcBorders>
              <w:top w:val="nil"/>
              <w:left w:val="single" w:color="auto" w:sz="8" w:space="0"/>
              <w:bottom w:val="nil"/>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备注  REMARKS</w:t>
            </w:r>
          </w:p>
        </w:tc>
        <w:tc>
          <w:tcPr>
            <w:tcW w:w="167" w:type="pct"/>
            <w:tcBorders>
              <w:top w:val="nil"/>
              <w:left w:val="nil"/>
              <w:bottom w:val="nil"/>
              <w:right w:val="nil"/>
            </w:tcBorders>
            <w:shd w:val="clear" w:color="auto" w:fill="auto"/>
            <w:noWrap/>
            <w:vAlign w:val="bottom"/>
          </w:tcPr>
          <w:p>
            <w:pPr>
              <w:widowControl/>
              <w:jc w:val="left"/>
              <w:rPr>
                <w:rFonts w:ascii="宋体" w:hAnsi="宋体" w:cs="宋体"/>
                <w:color w:val="000000"/>
                <w:kern w:val="0"/>
                <w:sz w:val="20"/>
              </w:rPr>
            </w:pPr>
          </w:p>
        </w:tc>
        <w:tc>
          <w:tcPr>
            <w:tcW w:w="165" w:type="pct"/>
            <w:tcBorders>
              <w:top w:val="nil"/>
              <w:left w:val="nil"/>
              <w:bottom w:val="nil"/>
              <w:right w:val="nil"/>
            </w:tcBorders>
            <w:shd w:val="clear" w:color="auto" w:fill="auto"/>
            <w:noWrap/>
            <w:vAlign w:val="bottom"/>
          </w:tcPr>
          <w:p>
            <w:pPr>
              <w:widowControl/>
              <w:jc w:val="left"/>
              <w:rPr>
                <w:rFonts w:ascii="宋体" w:hAnsi="宋体" w:cs="宋体"/>
                <w:color w:val="000000"/>
                <w:kern w:val="0"/>
                <w:sz w:val="20"/>
              </w:rPr>
            </w:pPr>
          </w:p>
        </w:tc>
        <w:tc>
          <w:tcPr>
            <w:tcW w:w="167" w:type="pct"/>
            <w:tcBorders>
              <w:top w:val="nil"/>
              <w:left w:val="nil"/>
              <w:bottom w:val="nil"/>
              <w:right w:val="nil"/>
            </w:tcBorders>
            <w:shd w:val="clear" w:color="auto" w:fill="auto"/>
            <w:noWrap/>
            <w:vAlign w:val="bottom"/>
          </w:tcPr>
          <w:p>
            <w:pPr>
              <w:widowControl/>
              <w:jc w:val="left"/>
              <w:rPr>
                <w:rFonts w:ascii="宋体" w:hAnsi="宋体" w:cs="宋体"/>
                <w:color w:val="000000"/>
                <w:kern w:val="0"/>
                <w:sz w:val="20"/>
              </w:rPr>
            </w:pPr>
          </w:p>
        </w:tc>
        <w:tc>
          <w:tcPr>
            <w:tcW w:w="147" w:type="pct"/>
            <w:tcBorders>
              <w:top w:val="nil"/>
              <w:left w:val="nil"/>
              <w:bottom w:val="nil"/>
              <w:right w:val="nil"/>
            </w:tcBorders>
            <w:shd w:val="clear" w:color="auto" w:fill="auto"/>
            <w:noWrap/>
            <w:vAlign w:val="bottom"/>
          </w:tcPr>
          <w:p>
            <w:pPr>
              <w:widowControl/>
              <w:jc w:val="left"/>
              <w:rPr>
                <w:rFonts w:ascii="宋体" w:hAnsi="宋体" w:cs="宋体"/>
                <w:color w:val="000000"/>
                <w:kern w:val="0"/>
                <w:sz w:val="20"/>
              </w:rPr>
            </w:pPr>
          </w:p>
        </w:tc>
        <w:tc>
          <w:tcPr>
            <w:tcW w:w="142" w:type="pct"/>
            <w:tcBorders>
              <w:top w:val="nil"/>
              <w:left w:val="nil"/>
              <w:bottom w:val="nil"/>
              <w:right w:val="nil"/>
            </w:tcBorders>
            <w:shd w:val="clear" w:color="auto" w:fill="auto"/>
            <w:noWrap/>
            <w:vAlign w:val="bottom"/>
          </w:tcPr>
          <w:p>
            <w:pPr>
              <w:widowControl/>
              <w:jc w:val="left"/>
              <w:rPr>
                <w:rFonts w:ascii="宋体" w:hAnsi="宋体" w:cs="宋体"/>
                <w:color w:val="000000"/>
                <w:kern w:val="0"/>
                <w:sz w:val="20"/>
              </w:rPr>
            </w:pPr>
          </w:p>
        </w:tc>
        <w:tc>
          <w:tcPr>
            <w:tcW w:w="141" w:type="pct"/>
            <w:tcBorders>
              <w:top w:val="nil"/>
              <w:left w:val="nil"/>
              <w:bottom w:val="nil"/>
              <w:right w:val="nil"/>
            </w:tcBorders>
            <w:shd w:val="clear" w:color="auto" w:fill="auto"/>
            <w:noWrap/>
            <w:vAlign w:val="bottom"/>
          </w:tcPr>
          <w:p>
            <w:pPr>
              <w:widowControl/>
              <w:jc w:val="left"/>
              <w:rPr>
                <w:rFonts w:ascii="宋体" w:hAnsi="宋体" w:cs="宋体"/>
                <w:color w:val="000000"/>
                <w:kern w:val="0"/>
                <w:sz w:val="20"/>
              </w:rPr>
            </w:pPr>
          </w:p>
        </w:tc>
        <w:tc>
          <w:tcPr>
            <w:tcW w:w="3004" w:type="pct"/>
            <w:gridSpan w:val="3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0"/>
              </w:rPr>
            </w:pPr>
            <w:r>
              <w:rPr>
                <w:rFonts w:hint="eastAsia" w:ascii="宋体" w:hAnsi="宋体" w:cs="宋体"/>
                <w:kern w:val="0"/>
                <w:sz w:val="20"/>
              </w:rPr>
              <w:t>1.SIL认证要求中国国家认证认可监督管理委员会官网可查。                                       2.稳定性高，温度变化、罐壁锈蚀、罐壁附着物等因素不影响测量结果，系统版本增强型。                                        3.提供现场安装指导服务。                                                  4.质保期内免费维修（非人为损坏）。</w:t>
            </w:r>
          </w:p>
        </w:tc>
      </w:tr>
      <w:tr>
        <w:tblPrEx>
          <w:tblCellMar>
            <w:top w:w="0" w:type="dxa"/>
            <w:left w:w="108" w:type="dxa"/>
            <w:bottom w:w="0" w:type="dxa"/>
            <w:right w:w="108" w:type="dxa"/>
          </w:tblCellMar>
        </w:tblPrEx>
        <w:trPr>
          <w:trHeight w:val="996" w:hRule="atLeast"/>
        </w:trPr>
        <w:tc>
          <w:tcPr>
            <w:tcW w:w="221" w:type="pct"/>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226"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223"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224"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color w:val="000000"/>
                <w:kern w:val="0"/>
                <w:sz w:val="20"/>
              </w:rPr>
            </w:pPr>
            <w:r>
              <w:rPr>
                <w:rFonts w:hint="eastAsia" w:ascii="宋体" w:hAnsi="宋体" w:cs="宋体"/>
                <w:color w:val="000000"/>
                <w:kern w:val="0"/>
                <w:sz w:val="20"/>
              </w:rPr>
              <w:t>　</w:t>
            </w:r>
          </w:p>
        </w:tc>
        <w:tc>
          <w:tcPr>
            <w:tcW w:w="3004" w:type="pct"/>
            <w:gridSpan w:val="33"/>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 w:val="20"/>
              </w:rPr>
            </w:pPr>
          </w:p>
        </w:tc>
      </w:tr>
      <w:tr>
        <w:tblPrEx>
          <w:tblCellMar>
            <w:top w:w="0" w:type="dxa"/>
            <w:left w:w="108" w:type="dxa"/>
            <w:bottom w:w="0" w:type="dxa"/>
            <w:right w:w="108" w:type="dxa"/>
          </w:tblCellMar>
        </w:tblPrEx>
        <w:trPr>
          <w:trHeight w:val="334" w:hRule="atLeast"/>
        </w:trPr>
        <w:tc>
          <w:tcPr>
            <w:tcW w:w="221" w:type="pct"/>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26"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23"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24"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47"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42"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7"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tcBorders>
              <w:top w:val="nil"/>
              <w:left w:val="single" w:color="auto" w:sz="4" w:space="0"/>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508"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tcBorders>
              <w:top w:val="nil"/>
              <w:left w:val="single" w:color="auto" w:sz="4" w:space="0"/>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3"/>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48"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single" w:color="auto" w:sz="4" w:space="0"/>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61"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34" w:hRule="atLeast"/>
        </w:trPr>
        <w:tc>
          <w:tcPr>
            <w:tcW w:w="221" w:type="pct"/>
            <w:tcBorders>
              <w:top w:val="nil"/>
              <w:left w:val="single" w:color="auto" w:sz="8" w:space="0"/>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26" w:type="pct"/>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23"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224"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65"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67"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47"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42" w:type="pct"/>
            <w:tcBorders>
              <w:top w:val="nil"/>
              <w:left w:val="single" w:color="auto" w:sz="4" w:space="0"/>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41"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7"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tcBorders>
              <w:top w:val="nil"/>
              <w:left w:val="single" w:color="auto" w:sz="4" w:space="0"/>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508"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tcBorders>
              <w:top w:val="nil"/>
              <w:left w:val="single" w:color="auto" w:sz="4" w:space="0"/>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3"/>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48"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nil"/>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36" w:type="pct"/>
            <w:gridSpan w:val="2"/>
            <w:tcBorders>
              <w:top w:val="nil"/>
              <w:left w:val="single" w:color="auto" w:sz="4" w:space="0"/>
              <w:bottom w:val="single" w:color="auto" w:sz="4" w:space="0"/>
              <w:right w:val="nil"/>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c>
          <w:tcPr>
            <w:tcW w:w="161" w:type="pct"/>
            <w:gridSpan w:val="2"/>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18"/>
                <w:szCs w:val="18"/>
              </w:rPr>
            </w:pPr>
            <w:r>
              <w:rPr>
                <w:rFonts w:hint="eastAsia" w:ascii="宋体" w:hAnsi="宋体" w:cs="宋体"/>
                <w:kern w:val="0"/>
                <w:sz w:val="18"/>
                <w:szCs w:val="18"/>
              </w:rPr>
              <w:t>　</w:t>
            </w:r>
          </w:p>
        </w:tc>
      </w:tr>
      <w:tr>
        <w:tblPrEx>
          <w:tblCellMar>
            <w:top w:w="0" w:type="dxa"/>
            <w:left w:w="108" w:type="dxa"/>
            <w:bottom w:w="0" w:type="dxa"/>
            <w:right w:w="108" w:type="dxa"/>
          </w:tblCellMar>
        </w:tblPrEx>
        <w:trPr>
          <w:trHeight w:val="366" w:hRule="atLeast"/>
        </w:trPr>
        <w:tc>
          <w:tcPr>
            <w:tcW w:w="447" w:type="pct"/>
            <w:gridSpan w:val="2"/>
            <w:tcBorders>
              <w:top w:val="single" w:color="auto" w:sz="4" w:space="0"/>
              <w:left w:val="single" w:color="auto" w:sz="8" w:space="0"/>
              <w:bottom w:val="single" w:color="auto" w:sz="8" w:space="0"/>
              <w:right w:val="single" w:color="000000" w:sz="4" w:space="0"/>
            </w:tcBorders>
            <w:shd w:val="clear" w:color="auto" w:fill="auto"/>
            <w:vAlign w:val="bottom"/>
          </w:tcPr>
          <w:p>
            <w:pPr>
              <w:widowControl/>
              <w:jc w:val="center"/>
              <w:rPr>
                <w:rFonts w:ascii="宋体" w:hAnsi="宋体" w:cs="宋体"/>
                <w:kern w:val="0"/>
                <w:sz w:val="14"/>
                <w:szCs w:val="14"/>
              </w:rPr>
            </w:pPr>
            <w:r>
              <w:rPr>
                <w:rFonts w:hint="eastAsia" w:ascii="宋体" w:hAnsi="宋体" w:cs="宋体"/>
                <w:kern w:val="0"/>
                <w:sz w:val="14"/>
                <w:szCs w:val="14"/>
              </w:rPr>
              <w:t>　</w:t>
            </w:r>
          </w:p>
        </w:tc>
        <w:tc>
          <w:tcPr>
            <w:tcW w:w="1263" w:type="pct"/>
            <w:gridSpan w:val="7"/>
            <w:tcBorders>
              <w:top w:val="single" w:color="auto" w:sz="4" w:space="0"/>
              <w:left w:val="nil"/>
              <w:bottom w:val="single" w:color="auto" w:sz="8" w:space="0"/>
              <w:right w:val="single" w:color="000000" w:sz="4" w:space="0"/>
            </w:tcBorders>
            <w:shd w:val="clear" w:color="auto" w:fill="auto"/>
            <w:vAlign w:val="bottom"/>
          </w:tcPr>
          <w:p>
            <w:pPr>
              <w:widowControl/>
              <w:jc w:val="center"/>
              <w:rPr>
                <w:rFonts w:ascii="宋体" w:hAnsi="宋体" w:cs="宋体"/>
                <w:kern w:val="0"/>
                <w:sz w:val="14"/>
                <w:szCs w:val="14"/>
              </w:rPr>
            </w:pPr>
            <w:r>
              <w:rPr>
                <w:rFonts w:hint="eastAsia" w:ascii="宋体" w:hAnsi="宋体" w:cs="宋体"/>
                <w:kern w:val="0"/>
                <w:sz w:val="14"/>
                <w:szCs w:val="14"/>
              </w:rPr>
              <w:t>　</w:t>
            </w:r>
          </w:p>
        </w:tc>
        <w:tc>
          <w:tcPr>
            <w:tcW w:w="538" w:type="pct"/>
            <w:gridSpan w:val="4"/>
            <w:tcBorders>
              <w:top w:val="single" w:color="auto" w:sz="4" w:space="0"/>
              <w:left w:val="nil"/>
              <w:bottom w:val="single" w:color="auto" w:sz="8" w:space="0"/>
              <w:right w:val="nil"/>
            </w:tcBorders>
            <w:shd w:val="clear" w:color="auto" w:fill="auto"/>
            <w:vAlign w:val="bottom"/>
          </w:tcPr>
          <w:p>
            <w:pPr>
              <w:widowControl/>
              <w:jc w:val="center"/>
              <w:rPr>
                <w:rFonts w:ascii="宋体" w:hAnsi="宋体" w:cs="宋体"/>
                <w:kern w:val="0"/>
                <w:sz w:val="14"/>
                <w:szCs w:val="14"/>
              </w:rPr>
            </w:pPr>
            <w:r>
              <w:rPr>
                <w:rFonts w:hint="eastAsia" w:ascii="宋体" w:hAnsi="宋体" w:cs="宋体"/>
                <w:kern w:val="0"/>
                <w:sz w:val="14"/>
                <w:szCs w:val="14"/>
              </w:rPr>
              <w:t>　</w:t>
            </w:r>
          </w:p>
        </w:tc>
        <w:tc>
          <w:tcPr>
            <w:tcW w:w="787" w:type="pct"/>
            <w:gridSpan w:val="4"/>
            <w:tcBorders>
              <w:top w:val="single" w:color="auto" w:sz="4" w:space="0"/>
              <w:left w:val="nil"/>
              <w:bottom w:val="single" w:color="auto" w:sz="8" w:space="0"/>
              <w:right w:val="single" w:color="000000" w:sz="4" w:space="0"/>
            </w:tcBorders>
            <w:shd w:val="clear" w:color="auto" w:fill="auto"/>
            <w:vAlign w:val="bottom"/>
          </w:tcPr>
          <w:p>
            <w:pPr>
              <w:widowControl/>
              <w:jc w:val="center"/>
              <w:rPr>
                <w:rFonts w:ascii="宋体" w:hAnsi="宋体" w:cs="宋体"/>
                <w:kern w:val="0"/>
                <w:sz w:val="14"/>
                <w:szCs w:val="14"/>
              </w:rPr>
            </w:pPr>
            <w:r>
              <w:rPr>
                <w:rFonts w:hint="eastAsia" w:ascii="宋体" w:hAnsi="宋体" w:cs="宋体"/>
                <w:kern w:val="0"/>
                <w:sz w:val="14"/>
                <w:szCs w:val="14"/>
              </w:rPr>
              <w:t>　</w:t>
            </w:r>
          </w:p>
        </w:tc>
        <w:tc>
          <w:tcPr>
            <w:tcW w:w="687" w:type="pct"/>
            <w:gridSpan w:val="9"/>
            <w:tcBorders>
              <w:top w:val="single" w:color="auto" w:sz="4" w:space="0"/>
              <w:left w:val="nil"/>
              <w:bottom w:val="single" w:color="auto" w:sz="8" w:space="0"/>
              <w:right w:val="single" w:color="000000" w:sz="4" w:space="0"/>
            </w:tcBorders>
            <w:shd w:val="clear" w:color="auto" w:fill="auto"/>
            <w:vAlign w:val="bottom"/>
          </w:tcPr>
          <w:p>
            <w:pPr>
              <w:widowControl/>
              <w:jc w:val="center"/>
              <w:rPr>
                <w:rFonts w:ascii="宋体" w:hAnsi="宋体" w:cs="宋体"/>
                <w:kern w:val="0"/>
                <w:sz w:val="14"/>
                <w:szCs w:val="14"/>
              </w:rPr>
            </w:pPr>
            <w:r>
              <w:rPr>
                <w:rFonts w:hint="eastAsia" w:ascii="宋体" w:hAnsi="宋体" w:cs="宋体"/>
                <w:kern w:val="0"/>
                <w:sz w:val="14"/>
                <w:szCs w:val="14"/>
              </w:rPr>
              <w:t>　</w:t>
            </w:r>
          </w:p>
        </w:tc>
        <w:tc>
          <w:tcPr>
            <w:tcW w:w="413" w:type="pct"/>
            <w:gridSpan w:val="5"/>
            <w:tcBorders>
              <w:top w:val="single" w:color="auto" w:sz="4" w:space="0"/>
              <w:left w:val="nil"/>
              <w:bottom w:val="single" w:color="auto" w:sz="8" w:space="0"/>
              <w:right w:val="single" w:color="000000" w:sz="4" w:space="0"/>
            </w:tcBorders>
            <w:shd w:val="clear" w:color="auto" w:fill="auto"/>
            <w:vAlign w:val="bottom"/>
          </w:tcPr>
          <w:p>
            <w:pPr>
              <w:widowControl/>
              <w:jc w:val="center"/>
              <w:rPr>
                <w:rFonts w:ascii="宋体" w:hAnsi="宋体" w:cs="宋体"/>
                <w:kern w:val="0"/>
                <w:sz w:val="14"/>
                <w:szCs w:val="14"/>
              </w:rPr>
            </w:pPr>
            <w:r>
              <w:rPr>
                <w:rFonts w:hint="eastAsia" w:ascii="宋体" w:hAnsi="宋体" w:cs="宋体"/>
                <w:kern w:val="0"/>
                <w:sz w:val="14"/>
                <w:szCs w:val="14"/>
              </w:rPr>
              <w:t>　</w:t>
            </w:r>
          </w:p>
        </w:tc>
        <w:tc>
          <w:tcPr>
            <w:tcW w:w="563" w:type="pct"/>
            <w:gridSpan w:val="9"/>
            <w:tcBorders>
              <w:top w:val="single" w:color="auto" w:sz="4" w:space="0"/>
              <w:left w:val="nil"/>
              <w:bottom w:val="single" w:color="auto" w:sz="8" w:space="0"/>
              <w:right w:val="single" w:color="000000" w:sz="4" w:space="0"/>
            </w:tcBorders>
            <w:shd w:val="clear" w:color="auto" w:fill="auto"/>
            <w:vAlign w:val="bottom"/>
          </w:tcPr>
          <w:p>
            <w:pPr>
              <w:widowControl/>
              <w:jc w:val="center"/>
              <w:rPr>
                <w:rFonts w:ascii="宋体" w:hAnsi="宋体" w:cs="宋体"/>
                <w:kern w:val="0"/>
                <w:sz w:val="14"/>
                <w:szCs w:val="14"/>
              </w:rPr>
            </w:pPr>
            <w:r>
              <w:rPr>
                <w:rFonts w:hint="eastAsia" w:ascii="宋体" w:hAnsi="宋体" w:cs="宋体"/>
                <w:kern w:val="0"/>
                <w:sz w:val="14"/>
                <w:szCs w:val="14"/>
              </w:rPr>
              <w:t>　</w:t>
            </w:r>
          </w:p>
        </w:tc>
        <w:tc>
          <w:tcPr>
            <w:tcW w:w="298" w:type="pct"/>
            <w:gridSpan w:val="4"/>
            <w:tcBorders>
              <w:top w:val="single" w:color="auto" w:sz="4" w:space="0"/>
              <w:left w:val="nil"/>
              <w:bottom w:val="single" w:color="auto" w:sz="8" w:space="0"/>
              <w:right w:val="single" w:color="auto" w:sz="4" w:space="0"/>
            </w:tcBorders>
            <w:shd w:val="clear" w:color="auto" w:fill="auto"/>
            <w:vAlign w:val="bottom"/>
          </w:tcPr>
          <w:p>
            <w:pPr>
              <w:widowControl/>
              <w:jc w:val="center"/>
              <w:rPr>
                <w:rFonts w:ascii="宋体" w:hAnsi="宋体" w:cs="宋体"/>
                <w:kern w:val="0"/>
                <w:sz w:val="14"/>
                <w:szCs w:val="14"/>
              </w:rPr>
            </w:pPr>
            <w:r>
              <w:rPr>
                <w:rFonts w:hint="eastAsia" w:ascii="宋体" w:hAnsi="宋体" w:cs="宋体"/>
                <w:kern w:val="0"/>
                <w:sz w:val="14"/>
                <w:szCs w:val="14"/>
              </w:rPr>
              <w:t>　</w:t>
            </w:r>
          </w:p>
        </w:tc>
      </w:tr>
    </w:tbl>
    <w:p>
      <w:pPr>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2</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EwNDY2YTI5NjhmZmZjMjIxYzU0Y2ZmMTU3ZjJkNmIifQ=="/>
  </w:docVars>
  <w:rsids>
    <w:rsidRoot w:val="359E47FF"/>
    <w:rsid w:val="00011B4B"/>
    <w:rsid w:val="00014408"/>
    <w:rsid w:val="00016059"/>
    <w:rsid w:val="00020924"/>
    <w:rsid w:val="00030F87"/>
    <w:rsid w:val="000310BC"/>
    <w:rsid w:val="0003693D"/>
    <w:rsid w:val="00044D1E"/>
    <w:rsid w:val="0004623B"/>
    <w:rsid w:val="00063E06"/>
    <w:rsid w:val="00071475"/>
    <w:rsid w:val="00080E06"/>
    <w:rsid w:val="000A22DB"/>
    <w:rsid w:val="000B2499"/>
    <w:rsid w:val="000B4547"/>
    <w:rsid w:val="000C1845"/>
    <w:rsid w:val="000C3108"/>
    <w:rsid w:val="000D348B"/>
    <w:rsid w:val="000D6A23"/>
    <w:rsid w:val="000F295D"/>
    <w:rsid w:val="00103A8D"/>
    <w:rsid w:val="00115EEC"/>
    <w:rsid w:val="001169C1"/>
    <w:rsid w:val="001260B7"/>
    <w:rsid w:val="00136B0D"/>
    <w:rsid w:val="0014791E"/>
    <w:rsid w:val="00160290"/>
    <w:rsid w:val="00166793"/>
    <w:rsid w:val="0018234A"/>
    <w:rsid w:val="001915A1"/>
    <w:rsid w:val="00193418"/>
    <w:rsid w:val="00196EA5"/>
    <w:rsid w:val="001A7FE6"/>
    <w:rsid w:val="001B4C8E"/>
    <w:rsid w:val="001B5044"/>
    <w:rsid w:val="001C3803"/>
    <w:rsid w:val="001C3F61"/>
    <w:rsid w:val="001D4B81"/>
    <w:rsid w:val="001D5CF3"/>
    <w:rsid w:val="001F16BE"/>
    <w:rsid w:val="001F212A"/>
    <w:rsid w:val="00210C67"/>
    <w:rsid w:val="002115B1"/>
    <w:rsid w:val="002133E5"/>
    <w:rsid w:val="00230B15"/>
    <w:rsid w:val="0024696A"/>
    <w:rsid w:val="002B3E65"/>
    <w:rsid w:val="002B41AA"/>
    <w:rsid w:val="002B6F82"/>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B4E51"/>
    <w:rsid w:val="003C384A"/>
    <w:rsid w:val="003E1001"/>
    <w:rsid w:val="003F12A2"/>
    <w:rsid w:val="00413897"/>
    <w:rsid w:val="00423C19"/>
    <w:rsid w:val="004424E8"/>
    <w:rsid w:val="00466243"/>
    <w:rsid w:val="00481D71"/>
    <w:rsid w:val="004875EB"/>
    <w:rsid w:val="004975D5"/>
    <w:rsid w:val="004C1280"/>
    <w:rsid w:val="004C289D"/>
    <w:rsid w:val="004F5E27"/>
    <w:rsid w:val="005042EC"/>
    <w:rsid w:val="005142FA"/>
    <w:rsid w:val="00527733"/>
    <w:rsid w:val="0053268D"/>
    <w:rsid w:val="00560EB5"/>
    <w:rsid w:val="005633CB"/>
    <w:rsid w:val="00576B34"/>
    <w:rsid w:val="0058559E"/>
    <w:rsid w:val="005D4758"/>
    <w:rsid w:val="005D4F71"/>
    <w:rsid w:val="005E5CFC"/>
    <w:rsid w:val="0060744B"/>
    <w:rsid w:val="0061433F"/>
    <w:rsid w:val="006235F0"/>
    <w:rsid w:val="006545BB"/>
    <w:rsid w:val="00666109"/>
    <w:rsid w:val="006734DC"/>
    <w:rsid w:val="006835A9"/>
    <w:rsid w:val="00693CB5"/>
    <w:rsid w:val="006A0C35"/>
    <w:rsid w:val="006C09FB"/>
    <w:rsid w:val="006C55A1"/>
    <w:rsid w:val="006D00BD"/>
    <w:rsid w:val="006D3CEC"/>
    <w:rsid w:val="006D5E62"/>
    <w:rsid w:val="006E4DE8"/>
    <w:rsid w:val="0070428B"/>
    <w:rsid w:val="00711ACD"/>
    <w:rsid w:val="00724955"/>
    <w:rsid w:val="007254B5"/>
    <w:rsid w:val="00745DDD"/>
    <w:rsid w:val="00746466"/>
    <w:rsid w:val="00753CD1"/>
    <w:rsid w:val="007574E5"/>
    <w:rsid w:val="00781AF0"/>
    <w:rsid w:val="00786EDE"/>
    <w:rsid w:val="007875CD"/>
    <w:rsid w:val="007D12CA"/>
    <w:rsid w:val="007D3B2F"/>
    <w:rsid w:val="007D630F"/>
    <w:rsid w:val="007D6397"/>
    <w:rsid w:val="007E0D6B"/>
    <w:rsid w:val="007E6E47"/>
    <w:rsid w:val="008127B4"/>
    <w:rsid w:val="00823974"/>
    <w:rsid w:val="0083404A"/>
    <w:rsid w:val="00842B41"/>
    <w:rsid w:val="00856599"/>
    <w:rsid w:val="00882A3F"/>
    <w:rsid w:val="008A7E03"/>
    <w:rsid w:val="008B33B1"/>
    <w:rsid w:val="008C785B"/>
    <w:rsid w:val="008D2F65"/>
    <w:rsid w:val="008D5377"/>
    <w:rsid w:val="008E5E25"/>
    <w:rsid w:val="008F71F5"/>
    <w:rsid w:val="00900A5B"/>
    <w:rsid w:val="0091028A"/>
    <w:rsid w:val="00911799"/>
    <w:rsid w:val="0093613E"/>
    <w:rsid w:val="00975ECA"/>
    <w:rsid w:val="0098053C"/>
    <w:rsid w:val="00981E93"/>
    <w:rsid w:val="009A29A7"/>
    <w:rsid w:val="009C7CE7"/>
    <w:rsid w:val="009D1883"/>
    <w:rsid w:val="009D21BB"/>
    <w:rsid w:val="009D736C"/>
    <w:rsid w:val="00A30621"/>
    <w:rsid w:val="00A42D2D"/>
    <w:rsid w:val="00A43591"/>
    <w:rsid w:val="00A47E98"/>
    <w:rsid w:val="00A5249F"/>
    <w:rsid w:val="00A63D0D"/>
    <w:rsid w:val="00A63D7F"/>
    <w:rsid w:val="00A7381A"/>
    <w:rsid w:val="00A81560"/>
    <w:rsid w:val="00AB3604"/>
    <w:rsid w:val="00AB6095"/>
    <w:rsid w:val="00AC569D"/>
    <w:rsid w:val="00AD747D"/>
    <w:rsid w:val="00AF29F9"/>
    <w:rsid w:val="00B01341"/>
    <w:rsid w:val="00B0144D"/>
    <w:rsid w:val="00B14267"/>
    <w:rsid w:val="00B353E5"/>
    <w:rsid w:val="00B51C96"/>
    <w:rsid w:val="00B63039"/>
    <w:rsid w:val="00B7406B"/>
    <w:rsid w:val="00B74619"/>
    <w:rsid w:val="00B82A10"/>
    <w:rsid w:val="00B82CED"/>
    <w:rsid w:val="00B97765"/>
    <w:rsid w:val="00BC7E3F"/>
    <w:rsid w:val="00BD78FB"/>
    <w:rsid w:val="00BF2809"/>
    <w:rsid w:val="00C2100D"/>
    <w:rsid w:val="00C258E8"/>
    <w:rsid w:val="00C31E40"/>
    <w:rsid w:val="00C41533"/>
    <w:rsid w:val="00C56465"/>
    <w:rsid w:val="00C743A3"/>
    <w:rsid w:val="00C97E7F"/>
    <w:rsid w:val="00D24639"/>
    <w:rsid w:val="00D32CC0"/>
    <w:rsid w:val="00D523FC"/>
    <w:rsid w:val="00D74586"/>
    <w:rsid w:val="00D84546"/>
    <w:rsid w:val="00DA002C"/>
    <w:rsid w:val="00DA24A4"/>
    <w:rsid w:val="00DC71A7"/>
    <w:rsid w:val="00DD194E"/>
    <w:rsid w:val="00DD7DB9"/>
    <w:rsid w:val="00E224BD"/>
    <w:rsid w:val="00E2759B"/>
    <w:rsid w:val="00E30627"/>
    <w:rsid w:val="00E45A9C"/>
    <w:rsid w:val="00E50D02"/>
    <w:rsid w:val="00E55ADA"/>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E2F1B"/>
    <w:rsid w:val="00FF1217"/>
    <w:rsid w:val="00FF61CA"/>
    <w:rsid w:val="00FF74D0"/>
    <w:rsid w:val="08826623"/>
    <w:rsid w:val="09E67744"/>
    <w:rsid w:val="0CCD460E"/>
    <w:rsid w:val="11E467E9"/>
    <w:rsid w:val="1444244B"/>
    <w:rsid w:val="14EA645D"/>
    <w:rsid w:val="19181A3A"/>
    <w:rsid w:val="1F2E38E2"/>
    <w:rsid w:val="216E14AA"/>
    <w:rsid w:val="225D796E"/>
    <w:rsid w:val="22A44771"/>
    <w:rsid w:val="24EC6623"/>
    <w:rsid w:val="2A98798D"/>
    <w:rsid w:val="2BBD3669"/>
    <w:rsid w:val="2E16582B"/>
    <w:rsid w:val="2E4116FA"/>
    <w:rsid w:val="31262BAF"/>
    <w:rsid w:val="3143321D"/>
    <w:rsid w:val="330F093A"/>
    <w:rsid w:val="34E37CA8"/>
    <w:rsid w:val="359E47FF"/>
    <w:rsid w:val="35B72FCB"/>
    <w:rsid w:val="35DA3E68"/>
    <w:rsid w:val="36E674AE"/>
    <w:rsid w:val="379A3E49"/>
    <w:rsid w:val="391E61C3"/>
    <w:rsid w:val="3C9B5E62"/>
    <w:rsid w:val="3F3D735A"/>
    <w:rsid w:val="40D519B8"/>
    <w:rsid w:val="416D2207"/>
    <w:rsid w:val="43281467"/>
    <w:rsid w:val="43EC12FF"/>
    <w:rsid w:val="44366C11"/>
    <w:rsid w:val="44E509D4"/>
    <w:rsid w:val="44E80E1C"/>
    <w:rsid w:val="46825CD1"/>
    <w:rsid w:val="47864C0C"/>
    <w:rsid w:val="4ADD1BA1"/>
    <w:rsid w:val="4B0853C3"/>
    <w:rsid w:val="4DC0511E"/>
    <w:rsid w:val="4FAC5BC3"/>
    <w:rsid w:val="4FC61FF0"/>
    <w:rsid w:val="501A73E7"/>
    <w:rsid w:val="50846203"/>
    <w:rsid w:val="52943481"/>
    <w:rsid w:val="538763B9"/>
    <w:rsid w:val="540463E4"/>
    <w:rsid w:val="55DC546E"/>
    <w:rsid w:val="57030BD5"/>
    <w:rsid w:val="579C3951"/>
    <w:rsid w:val="57F90679"/>
    <w:rsid w:val="596D6B7C"/>
    <w:rsid w:val="5A6B1A76"/>
    <w:rsid w:val="5C8A04F1"/>
    <w:rsid w:val="5CEC747F"/>
    <w:rsid w:val="5DDA4712"/>
    <w:rsid w:val="66202ABE"/>
    <w:rsid w:val="66441755"/>
    <w:rsid w:val="66CF713B"/>
    <w:rsid w:val="683F6E19"/>
    <w:rsid w:val="68961ACE"/>
    <w:rsid w:val="69C166FE"/>
    <w:rsid w:val="6AE467D8"/>
    <w:rsid w:val="6B6A01CA"/>
    <w:rsid w:val="6D9745DB"/>
    <w:rsid w:val="70C20C43"/>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801809-3C2F-42EA-9F6B-2AC601E32A6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1414</Words>
  <Characters>8063</Characters>
  <Lines>67</Lines>
  <Paragraphs>18</Paragraphs>
  <TotalTime>2</TotalTime>
  <ScaleCrop>false</ScaleCrop>
  <LinksUpToDate>false</LinksUpToDate>
  <CharactersWithSpaces>9459</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2023-11-23T02:24:00Z</dcterms:created>
  <dc:creator>Administrator</dc:creator>
  <cp:lastModifiedBy>邵蕾✨</cp:lastModifiedBy>
  <cp:lastPrinted>2023-11-09T07:04:00Z</cp:lastPrinted>
  <dcterms:modified xsi:type="dcterms:W3CDTF">2023-11-23T03:24:08Z</dcterms:modified>
  <dc:title>镇江海纳川物流产业发展有限责任公司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BE94F45440154B87939147AE560D1386_13</vt:lpwstr>
  </property>
</Properties>
</file>