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20231208港口法兰与阀门采购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合同签订生效后20天内供货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2023年12月19日上午10:20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2023年12月19日上午10:20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adjustRightInd w:val="0"/>
        <w:snapToGrid w:val="0"/>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1.投标方必须严格按照我公司招标文件物料的规格型号及物料描述要求报价，所供产品应符合安全技术规范要求和</w:t>
      </w:r>
      <w:r>
        <w:rPr>
          <w:rFonts w:hint="eastAsia" w:ascii="方正仿宋简体" w:hAnsi="方正仿宋简体" w:eastAsia="方正仿宋简体" w:cs="方正仿宋简体"/>
          <w:b/>
          <w:color w:val="FF0000"/>
          <w:sz w:val="32"/>
          <w:szCs w:val="32"/>
        </w:rPr>
        <w:t>化工部技术标准</w:t>
      </w:r>
      <w:r>
        <w:rPr>
          <w:rFonts w:hint="eastAsia" w:ascii="方正仿宋简体" w:hAnsi="方正仿宋简体" w:eastAsia="方正仿宋简体" w:cs="方正仿宋简体"/>
          <w:sz w:val="32"/>
          <w:szCs w:val="32"/>
        </w:rPr>
        <w:t>。</w:t>
      </w:r>
    </w:p>
    <w:p>
      <w:pPr>
        <w:adjustRightInd w:val="0"/>
        <w:snapToGrid w:val="0"/>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2.标的物必须符合相应国家标准或行业标准，产品质量合格（附产品合格证和相关技术资料）满足我公司使用要求。</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762"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555"/>
        <w:gridCol w:w="2269"/>
        <w:gridCol w:w="1564"/>
        <w:gridCol w:w="566"/>
        <w:gridCol w:w="587"/>
        <w:gridCol w:w="994"/>
        <w:gridCol w:w="992"/>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9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15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79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8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9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2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792" w:type="pct"/>
            <w:vAlign w:val="center"/>
          </w:tcPr>
          <w:p>
            <w:pPr>
              <w:rPr>
                <w:rFonts w:ascii="宋体" w:hAnsi="宋体" w:cs="宋体"/>
                <w:color w:val="000000"/>
                <w:sz w:val="18"/>
                <w:szCs w:val="18"/>
              </w:rPr>
            </w:pPr>
            <w:r>
              <w:rPr>
                <w:rFonts w:hint="eastAsia"/>
                <w:color w:val="000000"/>
                <w:sz w:val="18"/>
                <w:szCs w:val="18"/>
              </w:rPr>
              <w:t>不锈钢高颈法兰</w:t>
            </w:r>
          </w:p>
        </w:tc>
        <w:tc>
          <w:tcPr>
            <w:tcW w:w="1155" w:type="pct"/>
            <w:vAlign w:val="center"/>
          </w:tcPr>
          <w:p>
            <w:pPr>
              <w:jc w:val="left"/>
              <w:rPr>
                <w:rFonts w:ascii="宋体" w:hAnsi="宋体" w:cs="宋体"/>
                <w:color w:val="000000"/>
                <w:sz w:val="18"/>
                <w:szCs w:val="18"/>
              </w:rPr>
            </w:pPr>
            <w:r>
              <w:rPr>
                <w:rFonts w:hint="eastAsia"/>
                <w:color w:val="000000"/>
                <w:sz w:val="18"/>
                <w:szCs w:val="18"/>
              </w:rPr>
              <w:t>2寸 300LB 316</w:t>
            </w:r>
          </w:p>
        </w:tc>
        <w:tc>
          <w:tcPr>
            <w:tcW w:w="796" w:type="pct"/>
            <w:vAlign w:val="center"/>
          </w:tcPr>
          <w:p>
            <w:pPr>
              <w:rPr>
                <w:rFonts w:ascii="宋体" w:hAnsi="宋体" w:cs="宋体"/>
                <w:color w:val="000000"/>
                <w:sz w:val="18"/>
                <w:szCs w:val="18"/>
              </w:rPr>
            </w:pPr>
            <w:r>
              <w:rPr>
                <w:rFonts w:hint="eastAsia"/>
                <w:color w:val="000000"/>
                <w:sz w:val="18"/>
                <w:szCs w:val="18"/>
              </w:rPr>
              <w:t>　</w:t>
            </w:r>
          </w:p>
        </w:tc>
        <w:tc>
          <w:tcPr>
            <w:tcW w:w="288" w:type="pct"/>
            <w:vAlign w:val="center"/>
          </w:tcPr>
          <w:p>
            <w:pPr>
              <w:jc w:val="center"/>
              <w:rPr>
                <w:rFonts w:ascii="宋体" w:hAnsi="宋体" w:cs="宋体"/>
                <w:color w:val="000000"/>
                <w:sz w:val="18"/>
                <w:szCs w:val="18"/>
              </w:rPr>
            </w:pPr>
            <w:r>
              <w:rPr>
                <w:rFonts w:hint="eastAsia"/>
                <w:color w:val="000000"/>
                <w:sz w:val="18"/>
                <w:szCs w:val="18"/>
              </w:rPr>
              <w:t>只</w:t>
            </w:r>
          </w:p>
        </w:tc>
        <w:tc>
          <w:tcPr>
            <w:tcW w:w="299" w:type="pct"/>
            <w:vAlign w:val="center"/>
          </w:tcPr>
          <w:p>
            <w:pPr>
              <w:jc w:val="center"/>
              <w:rPr>
                <w:rFonts w:ascii="宋体" w:hAnsi="宋体" w:cs="宋体"/>
                <w:color w:val="000000"/>
                <w:sz w:val="18"/>
                <w:szCs w:val="18"/>
              </w:rPr>
            </w:pPr>
            <w:r>
              <w:rPr>
                <w:rFonts w:hint="eastAsia"/>
                <w:color w:val="000000"/>
                <w:sz w:val="18"/>
                <w:szCs w:val="18"/>
              </w:rPr>
              <w:t>4</w:t>
            </w:r>
          </w:p>
        </w:tc>
        <w:tc>
          <w:tcPr>
            <w:tcW w:w="506" w:type="pct"/>
            <w:vAlign w:val="center"/>
          </w:tcPr>
          <w:p>
            <w:pPr>
              <w:widowControl/>
              <w:spacing w:line="0" w:lineRule="atLeast"/>
              <w:jc w:val="center"/>
              <w:rPr>
                <w:rFonts w:ascii="方正仿宋简体" w:hAnsi="方正仿宋简体" w:eastAsia="方正仿宋简体" w:cs="方正仿宋简体"/>
                <w:szCs w:val="21"/>
              </w:rPr>
            </w:pPr>
          </w:p>
        </w:tc>
        <w:tc>
          <w:tcPr>
            <w:tcW w:w="505" w:type="pct"/>
            <w:vAlign w:val="center"/>
          </w:tcPr>
          <w:p>
            <w:pPr>
              <w:widowControl/>
              <w:spacing w:line="0" w:lineRule="atLeast"/>
              <w:jc w:val="center"/>
              <w:rPr>
                <w:rFonts w:ascii="方正仿宋简体" w:hAnsi="方正仿宋简体" w:eastAsia="方正仿宋简体" w:cs="方正仿宋简体"/>
                <w:szCs w:val="21"/>
              </w:rPr>
            </w:pPr>
          </w:p>
        </w:tc>
        <w:tc>
          <w:tcPr>
            <w:tcW w:w="42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792" w:type="pct"/>
            <w:vAlign w:val="center"/>
          </w:tcPr>
          <w:p>
            <w:pPr>
              <w:rPr>
                <w:rFonts w:ascii="宋体" w:hAnsi="宋体" w:cs="宋体"/>
                <w:color w:val="000000"/>
                <w:sz w:val="18"/>
                <w:szCs w:val="18"/>
              </w:rPr>
            </w:pPr>
            <w:r>
              <w:rPr>
                <w:rFonts w:hint="eastAsia"/>
                <w:color w:val="000000"/>
                <w:sz w:val="18"/>
                <w:szCs w:val="18"/>
              </w:rPr>
              <w:t>不锈钢高颈法兰</w:t>
            </w:r>
          </w:p>
        </w:tc>
        <w:tc>
          <w:tcPr>
            <w:tcW w:w="1155" w:type="pct"/>
            <w:vAlign w:val="center"/>
          </w:tcPr>
          <w:p>
            <w:pPr>
              <w:jc w:val="left"/>
              <w:rPr>
                <w:rFonts w:ascii="宋体" w:hAnsi="宋体" w:cs="宋体"/>
                <w:color w:val="000000"/>
                <w:sz w:val="18"/>
                <w:szCs w:val="18"/>
              </w:rPr>
            </w:pPr>
            <w:r>
              <w:rPr>
                <w:rFonts w:hint="eastAsia"/>
                <w:color w:val="000000"/>
                <w:sz w:val="18"/>
                <w:szCs w:val="18"/>
              </w:rPr>
              <w:t>3寸 300LB 316</w:t>
            </w:r>
          </w:p>
        </w:tc>
        <w:tc>
          <w:tcPr>
            <w:tcW w:w="796" w:type="pct"/>
            <w:vAlign w:val="center"/>
          </w:tcPr>
          <w:p>
            <w:pPr>
              <w:rPr>
                <w:rFonts w:ascii="宋体" w:hAnsi="宋体" w:cs="宋体"/>
                <w:color w:val="000000"/>
                <w:sz w:val="18"/>
                <w:szCs w:val="18"/>
              </w:rPr>
            </w:pPr>
            <w:r>
              <w:rPr>
                <w:rFonts w:hint="eastAsia"/>
                <w:color w:val="000000"/>
                <w:sz w:val="18"/>
                <w:szCs w:val="18"/>
              </w:rPr>
              <w:t>　</w:t>
            </w:r>
          </w:p>
        </w:tc>
        <w:tc>
          <w:tcPr>
            <w:tcW w:w="288" w:type="pct"/>
            <w:vAlign w:val="center"/>
          </w:tcPr>
          <w:p>
            <w:pPr>
              <w:jc w:val="center"/>
              <w:rPr>
                <w:rFonts w:ascii="宋体" w:hAnsi="宋体" w:cs="宋体"/>
                <w:color w:val="000000"/>
                <w:sz w:val="18"/>
                <w:szCs w:val="18"/>
              </w:rPr>
            </w:pPr>
            <w:r>
              <w:rPr>
                <w:rFonts w:hint="eastAsia"/>
                <w:color w:val="000000"/>
                <w:sz w:val="18"/>
                <w:szCs w:val="18"/>
              </w:rPr>
              <w:t>只</w:t>
            </w:r>
          </w:p>
        </w:tc>
        <w:tc>
          <w:tcPr>
            <w:tcW w:w="299" w:type="pct"/>
            <w:vAlign w:val="center"/>
          </w:tcPr>
          <w:p>
            <w:pPr>
              <w:jc w:val="center"/>
              <w:rPr>
                <w:rFonts w:ascii="宋体" w:hAnsi="宋体" w:cs="宋体"/>
                <w:color w:val="000000"/>
                <w:sz w:val="18"/>
                <w:szCs w:val="18"/>
              </w:rPr>
            </w:pPr>
            <w:r>
              <w:rPr>
                <w:rFonts w:hint="eastAsia"/>
                <w:color w:val="000000"/>
                <w:sz w:val="18"/>
                <w:szCs w:val="18"/>
              </w:rPr>
              <w:t>2</w:t>
            </w:r>
          </w:p>
        </w:tc>
        <w:tc>
          <w:tcPr>
            <w:tcW w:w="506" w:type="pct"/>
            <w:vAlign w:val="center"/>
          </w:tcPr>
          <w:p>
            <w:pPr>
              <w:widowControl/>
              <w:spacing w:line="0" w:lineRule="atLeast"/>
              <w:jc w:val="center"/>
              <w:rPr>
                <w:rFonts w:ascii="方正仿宋简体" w:hAnsi="方正仿宋简体" w:eastAsia="方正仿宋简体" w:cs="方正仿宋简体"/>
                <w:szCs w:val="21"/>
              </w:rPr>
            </w:pPr>
          </w:p>
        </w:tc>
        <w:tc>
          <w:tcPr>
            <w:tcW w:w="505" w:type="pct"/>
            <w:vAlign w:val="center"/>
          </w:tcPr>
          <w:p>
            <w:pPr>
              <w:widowControl/>
              <w:spacing w:line="0" w:lineRule="atLeast"/>
              <w:jc w:val="center"/>
              <w:rPr>
                <w:rFonts w:ascii="方正仿宋简体" w:hAnsi="方正仿宋简体" w:eastAsia="方正仿宋简体" w:cs="方正仿宋简体"/>
                <w:szCs w:val="21"/>
              </w:rPr>
            </w:pPr>
          </w:p>
        </w:tc>
        <w:tc>
          <w:tcPr>
            <w:tcW w:w="42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792" w:type="pct"/>
            <w:vAlign w:val="center"/>
          </w:tcPr>
          <w:p>
            <w:pPr>
              <w:rPr>
                <w:rFonts w:ascii="宋体" w:hAnsi="宋体" w:cs="宋体"/>
                <w:color w:val="000000"/>
                <w:sz w:val="18"/>
                <w:szCs w:val="18"/>
              </w:rPr>
            </w:pPr>
            <w:r>
              <w:rPr>
                <w:rFonts w:hint="eastAsia"/>
                <w:color w:val="000000"/>
                <w:sz w:val="18"/>
                <w:szCs w:val="18"/>
              </w:rPr>
              <w:t>不锈钢法兰</w:t>
            </w:r>
          </w:p>
        </w:tc>
        <w:tc>
          <w:tcPr>
            <w:tcW w:w="1155" w:type="pct"/>
            <w:vAlign w:val="center"/>
          </w:tcPr>
          <w:p>
            <w:pPr>
              <w:jc w:val="left"/>
              <w:rPr>
                <w:rFonts w:ascii="宋体" w:hAnsi="宋体" w:cs="宋体"/>
                <w:color w:val="000000"/>
                <w:sz w:val="18"/>
                <w:szCs w:val="18"/>
              </w:rPr>
            </w:pPr>
            <w:r>
              <w:rPr>
                <w:rFonts w:hint="eastAsia"/>
                <w:color w:val="000000"/>
                <w:sz w:val="18"/>
                <w:szCs w:val="18"/>
              </w:rPr>
              <w:t>DN80 PN50 316</w:t>
            </w:r>
          </w:p>
        </w:tc>
        <w:tc>
          <w:tcPr>
            <w:tcW w:w="796" w:type="pct"/>
            <w:vAlign w:val="center"/>
          </w:tcPr>
          <w:p>
            <w:pPr>
              <w:rPr>
                <w:rFonts w:ascii="宋体" w:hAnsi="宋体" w:cs="宋体"/>
                <w:color w:val="000000"/>
                <w:sz w:val="18"/>
                <w:szCs w:val="18"/>
              </w:rPr>
            </w:pPr>
            <w:r>
              <w:rPr>
                <w:rFonts w:hint="eastAsia"/>
                <w:color w:val="000000"/>
                <w:sz w:val="18"/>
                <w:szCs w:val="18"/>
              </w:rPr>
              <w:t>　</w:t>
            </w:r>
          </w:p>
        </w:tc>
        <w:tc>
          <w:tcPr>
            <w:tcW w:w="288" w:type="pct"/>
            <w:vAlign w:val="center"/>
          </w:tcPr>
          <w:p>
            <w:pPr>
              <w:jc w:val="center"/>
              <w:rPr>
                <w:rFonts w:ascii="宋体" w:hAnsi="宋体" w:cs="宋体"/>
                <w:color w:val="000000"/>
                <w:sz w:val="18"/>
                <w:szCs w:val="18"/>
              </w:rPr>
            </w:pPr>
            <w:r>
              <w:rPr>
                <w:rFonts w:hint="eastAsia"/>
                <w:color w:val="000000"/>
                <w:sz w:val="18"/>
                <w:szCs w:val="18"/>
              </w:rPr>
              <w:t>只</w:t>
            </w:r>
          </w:p>
        </w:tc>
        <w:tc>
          <w:tcPr>
            <w:tcW w:w="299" w:type="pct"/>
            <w:vAlign w:val="center"/>
          </w:tcPr>
          <w:p>
            <w:pPr>
              <w:jc w:val="center"/>
              <w:rPr>
                <w:rFonts w:ascii="宋体" w:hAnsi="宋体" w:cs="宋体"/>
                <w:color w:val="000000"/>
                <w:sz w:val="18"/>
                <w:szCs w:val="18"/>
              </w:rPr>
            </w:pPr>
            <w:r>
              <w:rPr>
                <w:rFonts w:hint="eastAsia"/>
                <w:color w:val="000000"/>
                <w:sz w:val="18"/>
                <w:szCs w:val="18"/>
              </w:rPr>
              <w:t>4</w:t>
            </w:r>
          </w:p>
        </w:tc>
        <w:tc>
          <w:tcPr>
            <w:tcW w:w="506" w:type="pct"/>
            <w:vAlign w:val="center"/>
          </w:tcPr>
          <w:p>
            <w:pPr>
              <w:widowControl/>
              <w:spacing w:line="0" w:lineRule="atLeast"/>
              <w:jc w:val="center"/>
              <w:rPr>
                <w:rFonts w:ascii="方正仿宋简体" w:hAnsi="方正仿宋简体" w:eastAsia="方正仿宋简体" w:cs="方正仿宋简体"/>
                <w:szCs w:val="21"/>
              </w:rPr>
            </w:pPr>
          </w:p>
        </w:tc>
        <w:tc>
          <w:tcPr>
            <w:tcW w:w="505" w:type="pct"/>
            <w:vAlign w:val="center"/>
          </w:tcPr>
          <w:p>
            <w:pPr>
              <w:widowControl/>
              <w:spacing w:line="0" w:lineRule="atLeast"/>
              <w:jc w:val="center"/>
              <w:rPr>
                <w:rFonts w:ascii="方正仿宋简体" w:hAnsi="方正仿宋简体" w:eastAsia="方正仿宋简体" w:cs="方正仿宋简体"/>
                <w:szCs w:val="21"/>
              </w:rPr>
            </w:pPr>
          </w:p>
        </w:tc>
        <w:tc>
          <w:tcPr>
            <w:tcW w:w="42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792" w:type="pct"/>
            <w:vAlign w:val="center"/>
          </w:tcPr>
          <w:p>
            <w:pPr>
              <w:rPr>
                <w:rFonts w:ascii="宋体" w:hAnsi="宋体" w:cs="宋体"/>
                <w:color w:val="000000"/>
                <w:sz w:val="18"/>
                <w:szCs w:val="18"/>
              </w:rPr>
            </w:pPr>
            <w:r>
              <w:rPr>
                <w:rFonts w:hint="eastAsia"/>
                <w:color w:val="000000"/>
                <w:sz w:val="18"/>
                <w:szCs w:val="18"/>
              </w:rPr>
              <w:t>不锈钢截止阀</w:t>
            </w:r>
          </w:p>
        </w:tc>
        <w:tc>
          <w:tcPr>
            <w:tcW w:w="1155" w:type="pct"/>
            <w:vAlign w:val="center"/>
          </w:tcPr>
          <w:p>
            <w:pPr>
              <w:jc w:val="left"/>
              <w:rPr>
                <w:rFonts w:ascii="宋体" w:hAnsi="宋体" w:cs="宋体"/>
                <w:color w:val="000000"/>
                <w:sz w:val="18"/>
                <w:szCs w:val="18"/>
              </w:rPr>
            </w:pPr>
            <w:r>
              <w:rPr>
                <w:rFonts w:hint="eastAsia"/>
                <w:color w:val="000000"/>
                <w:sz w:val="18"/>
                <w:szCs w:val="18"/>
              </w:rPr>
              <w:t>2寸 300LB 316</w:t>
            </w:r>
          </w:p>
        </w:tc>
        <w:tc>
          <w:tcPr>
            <w:tcW w:w="796" w:type="pct"/>
            <w:vAlign w:val="center"/>
          </w:tcPr>
          <w:p>
            <w:pPr>
              <w:rPr>
                <w:rFonts w:ascii="宋体" w:hAnsi="宋体" w:cs="宋体"/>
                <w:color w:val="000000"/>
                <w:sz w:val="18"/>
                <w:szCs w:val="18"/>
              </w:rPr>
            </w:pPr>
            <w:r>
              <w:rPr>
                <w:rFonts w:hint="eastAsia"/>
                <w:color w:val="000000"/>
                <w:sz w:val="18"/>
                <w:szCs w:val="18"/>
              </w:rPr>
              <w:t>　</w:t>
            </w:r>
          </w:p>
        </w:tc>
        <w:tc>
          <w:tcPr>
            <w:tcW w:w="288" w:type="pct"/>
            <w:vAlign w:val="center"/>
          </w:tcPr>
          <w:p>
            <w:pPr>
              <w:jc w:val="center"/>
              <w:rPr>
                <w:rFonts w:ascii="宋体" w:hAnsi="宋体" w:cs="宋体"/>
                <w:color w:val="000000"/>
                <w:sz w:val="18"/>
                <w:szCs w:val="18"/>
              </w:rPr>
            </w:pPr>
            <w:r>
              <w:rPr>
                <w:rFonts w:hint="eastAsia"/>
                <w:color w:val="000000"/>
                <w:sz w:val="18"/>
                <w:szCs w:val="18"/>
              </w:rPr>
              <w:t>只</w:t>
            </w:r>
          </w:p>
        </w:tc>
        <w:tc>
          <w:tcPr>
            <w:tcW w:w="299" w:type="pct"/>
            <w:vAlign w:val="center"/>
          </w:tcPr>
          <w:p>
            <w:pPr>
              <w:jc w:val="center"/>
              <w:rPr>
                <w:rFonts w:ascii="宋体" w:hAnsi="宋体" w:cs="宋体"/>
                <w:color w:val="000000"/>
                <w:sz w:val="18"/>
                <w:szCs w:val="18"/>
              </w:rPr>
            </w:pPr>
            <w:r>
              <w:rPr>
                <w:rFonts w:hint="eastAsia"/>
                <w:color w:val="000000"/>
                <w:sz w:val="18"/>
                <w:szCs w:val="18"/>
              </w:rPr>
              <w:t>1</w:t>
            </w:r>
          </w:p>
        </w:tc>
        <w:tc>
          <w:tcPr>
            <w:tcW w:w="506" w:type="pct"/>
            <w:vAlign w:val="center"/>
          </w:tcPr>
          <w:p>
            <w:pPr>
              <w:widowControl/>
              <w:spacing w:line="0" w:lineRule="atLeast"/>
              <w:jc w:val="center"/>
              <w:rPr>
                <w:rFonts w:ascii="方正仿宋简体" w:hAnsi="方正仿宋简体" w:eastAsia="方正仿宋简体" w:cs="方正仿宋简体"/>
                <w:szCs w:val="21"/>
              </w:rPr>
            </w:pPr>
          </w:p>
        </w:tc>
        <w:tc>
          <w:tcPr>
            <w:tcW w:w="505" w:type="pct"/>
            <w:vAlign w:val="center"/>
          </w:tcPr>
          <w:p>
            <w:pPr>
              <w:widowControl/>
              <w:spacing w:line="0" w:lineRule="atLeast"/>
              <w:jc w:val="center"/>
              <w:rPr>
                <w:rFonts w:ascii="方正仿宋简体" w:hAnsi="方正仿宋简体" w:eastAsia="方正仿宋简体" w:cs="方正仿宋简体"/>
                <w:szCs w:val="21"/>
              </w:rPr>
            </w:pPr>
          </w:p>
        </w:tc>
        <w:tc>
          <w:tcPr>
            <w:tcW w:w="42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5</w:t>
            </w:r>
          </w:p>
        </w:tc>
        <w:tc>
          <w:tcPr>
            <w:tcW w:w="792" w:type="pct"/>
            <w:vAlign w:val="center"/>
          </w:tcPr>
          <w:p>
            <w:pPr>
              <w:rPr>
                <w:rFonts w:ascii="宋体" w:hAnsi="宋体" w:cs="宋体"/>
                <w:color w:val="000000"/>
                <w:sz w:val="18"/>
                <w:szCs w:val="18"/>
              </w:rPr>
            </w:pPr>
            <w:r>
              <w:rPr>
                <w:rFonts w:hint="eastAsia"/>
                <w:color w:val="000000"/>
                <w:sz w:val="18"/>
                <w:szCs w:val="18"/>
              </w:rPr>
              <w:t>碳钢闸阀</w:t>
            </w:r>
          </w:p>
        </w:tc>
        <w:tc>
          <w:tcPr>
            <w:tcW w:w="1155" w:type="pct"/>
            <w:vAlign w:val="center"/>
          </w:tcPr>
          <w:p>
            <w:pPr>
              <w:ind w:left="90" w:hanging="90" w:hangingChars="50"/>
              <w:jc w:val="left"/>
              <w:rPr>
                <w:rFonts w:ascii="宋体" w:hAnsi="宋体" w:cs="宋体"/>
                <w:color w:val="000000"/>
                <w:sz w:val="18"/>
                <w:szCs w:val="18"/>
              </w:rPr>
            </w:pPr>
            <w:r>
              <w:rPr>
                <w:rFonts w:hint="eastAsia"/>
                <w:color w:val="000000"/>
                <w:sz w:val="18"/>
                <w:szCs w:val="18"/>
              </w:rPr>
              <w:t>8寸 150LB 法兰8孔     阀门长度290mm</w:t>
            </w:r>
          </w:p>
        </w:tc>
        <w:tc>
          <w:tcPr>
            <w:tcW w:w="796" w:type="pct"/>
            <w:vAlign w:val="center"/>
          </w:tcPr>
          <w:p>
            <w:pPr>
              <w:rPr>
                <w:rFonts w:ascii="宋体" w:hAnsi="宋体" w:cs="宋体"/>
                <w:color w:val="000000"/>
                <w:sz w:val="18"/>
                <w:szCs w:val="18"/>
              </w:rPr>
            </w:pPr>
            <w:r>
              <w:rPr>
                <w:rFonts w:hint="eastAsia"/>
                <w:color w:val="000000"/>
                <w:sz w:val="18"/>
                <w:szCs w:val="18"/>
              </w:rPr>
              <w:t>　</w:t>
            </w:r>
          </w:p>
        </w:tc>
        <w:tc>
          <w:tcPr>
            <w:tcW w:w="288" w:type="pct"/>
            <w:vAlign w:val="center"/>
          </w:tcPr>
          <w:p>
            <w:pPr>
              <w:jc w:val="center"/>
              <w:rPr>
                <w:rFonts w:ascii="宋体" w:hAnsi="宋体" w:cs="宋体"/>
                <w:color w:val="000000"/>
                <w:sz w:val="18"/>
                <w:szCs w:val="18"/>
              </w:rPr>
            </w:pPr>
            <w:r>
              <w:rPr>
                <w:rFonts w:hint="eastAsia"/>
                <w:color w:val="000000"/>
                <w:sz w:val="18"/>
                <w:szCs w:val="18"/>
              </w:rPr>
              <w:t>只</w:t>
            </w:r>
          </w:p>
        </w:tc>
        <w:tc>
          <w:tcPr>
            <w:tcW w:w="299" w:type="pct"/>
            <w:vAlign w:val="center"/>
          </w:tcPr>
          <w:p>
            <w:pPr>
              <w:jc w:val="center"/>
              <w:rPr>
                <w:rFonts w:ascii="宋体" w:hAnsi="宋体" w:cs="宋体"/>
                <w:color w:val="000000"/>
                <w:sz w:val="18"/>
                <w:szCs w:val="18"/>
              </w:rPr>
            </w:pPr>
            <w:r>
              <w:rPr>
                <w:rFonts w:hint="eastAsia"/>
                <w:color w:val="000000"/>
                <w:sz w:val="18"/>
                <w:szCs w:val="18"/>
              </w:rPr>
              <w:t>1</w:t>
            </w:r>
          </w:p>
        </w:tc>
        <w:tc>
          <w:tcPr>
            <w:tcW w:w="506" w:type="pct"/>
            <w:vAlign w:val="center"/>
          </w:tcPr>
          <w:p>
            <w:pPr>
              <w:widowControl/>
              <w:spacing w:line="0" w:lineRule="atLeast"/>
              <w:jc w:val="center"/>
              <w:rPr>
                <w:rFonts w:ascii="方正仿宋简体" w:hAnsi="方正仿宋简体" w:eastAsia="方正仿宋简体" w:cs="方正仿宋简体"/>
                <w:szCs w:val="21"/>
              </w:rPr>
            </w:pPr>
          </w:p>
        </w:tc>
        <w:tc>
          <w:tcPr>
            <w:tcW w:w="505" w:type="pct"/>
            <w:vAlign w:val="center"/>
          </w:tcPr>
          <w:p>
            <w:pPr>
              <w:widowControl/>
              <w:spacing w:line="0" w:lineRule="atLeast"/>
              <w:jc w:val="center"/>
              <w:rPr>
                <w:rFonts w:ascii="方正仿宋简体" w:hAnsi="方正仿宋简体" w:eastAsia="方正仿宋简体" w:cs="方正仿宋简体"/>
                <w:szCs w:val="21"/>
              </w:rPr>
            </w:pPr>
          </w:p>
        </w:tc>
        <w:tc>
          <w:tcPr>
            <w:tcW w:w="42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80"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以上合计总价（小写）： </w:t>
            </w:r>
          </w:p>
        </w:tc>
        <w:tc>
          <w:tcPr>
            <w:tcW w:w="2020" w:type="pct"/>
            <w:gridSpan w:val="5"/>
            <w:vAlign w:val="center"/>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562" w:firstLineChars="200"/>
        <w:jc w:val="left"/>
        <w:rPr>
          <w:rFonts w:hint="eastAsia" w:ascii="方正仿宋简体" w:hAnsi="方正仿宋简体" w:eastAsia="方正仿宋简体" w:cs="方正仿宋简体"/>
          <w:b/>
          <w:bCs/>
          <w:color w:val="FF0000"/>
          <w:sz w:val="28"/>
          <w:szCs w:val="28"/>
        </w:rPr>
      </w:pPr>
      <w:r>
        <w:rPr>
          <w:rFonts w:hint="eastAsia" w:ascii="方正仿宋简体" w:hAnsi="方正仿宋简体" w:eastAsia="方正仿宋简体" w:cs="方正仿宋简体"/>
          <w:b/>
          <w:bCs/>
          <w:color w:val="FF0000"/>
          <w:kern w:val="0"/>
          <w:sz w:val="28"/>
          <w:szCs w:val="28"/>
        </w:rPr>
        <w:t>注：报价供货产品须满足</w:t>
      </w:r>
      <w:r>
        <w:rPr>
          <w:rFonts w:hint="eastAsia" w:ascii="方正仿宋简体" w:hAnsi="方正仿宋简体" w:eastAsia="方正仿宋简体" w:cs="方正仿宋简体"/>
          <w:b/>
          <w:bCs/>
          <w:color w:val="FF0000"/>
          <w:sz w:val="28"/>
          <w:szCs w:val="28"/>
        </w:rPr>
        <w:t>化工部技术标准。</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bookmarkStart w:id="0" w:name="_GoBack"/>
      <w:bookmarkEnd w:id="0"/>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53" w:type="dxa"/>
          </w:tcPr>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甲方（盖章）：</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法定代表人：</w:t>
            </w:r>
          </w:p>
          <w:p>
            <w:pPr>
              <w:spacing w:line="0" w:lineRule="atLeast"/>
              <w:rPr>
                <w:rFonts w:ascii="仿宋_GB2312" w:hAnsi="宋体" w:eastAsia="仿宋_GB2312"/>
                <w:sz w:val="24"/>
                <w:szCs w:val="24"/>
              </w:rPr>
            </w:pPr>
            <w:r>
              <w:rPr>
                <w:rFonts w:hint="eastAsia" w:ascii="仿宋_GB2312" w:hAnsi="宋体" w:eastAsia="仿宋_GB2312"/>
                <w:sz w:val="24"/>
                <w:szCs w:val="24"/>
              </w:rPr>
              <w:t>业务经办人：</w:t>
            </w:r>
          </w:p>
          <w:p>
            <w:pPr>
              <w:spacing w:line="0" w:lineRule="atLeast"/>
              <w:rPr>
                <w:rFonts w:ascii="方正仿宋简体" w:hAnsi="方正仿宋简体" w:eastAsia="方正仿宋简体" w:cs="方正仿宋简体"/>
                <w:sz w:val="24"/>
                <w:szCs w:val="24"/>
              </w:rPr>
            </w:pPr>
            <w:r>
              <w:rPr>
                <w:rFonts w:hint="eastAsia" w:ascii="仿宋_GB2312" w:hAnsi="宋体" w:eastAsia="仿宋_GB2312"/>
                <w:sz w:val="24"/>
                <w:szCs w:val="24"/>
              </w:rPr>
              <w:t>电话：</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账号：</w:t>
            </w:r>
            <w:r>
              <w:rPr>
                <w:rFonts w:hint="eastAsia" w:ascii="方正仿宋简体" w:hAnsi="方正仿宋简体" w:eastAsia="方正仿宋简体" w:cs="方正仿宋简体"/>
                <w:sz w:val="24"/>
                <w:szCs w:val="24"/>
              </w:rPr>
              <w:t xml:space="preserve"> </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   年   月  日</w:t>
            </w:r>
          </w:p>
        </w:tc>
        <w:tc>
          <w:tcPr>
            <w:tcW w:w="5387" w:type="dxa"/>
          </w:tcPr>
          <w:p>
            <w:pPr>
              <w:spacing w:line="0" w:lineRule="atLeast"/>
              <w:rPr>
                <w:rFonts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pPr>
              <w:spacing w:line="0" w:lineRule="atLeast"/>
              <w:rPr>
                <w:rFonts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 </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 </w:t>
            </w:r>
          </w:p>
          <w:p>
            <w:pPr>
              <w:spacing w:line="0" w:lineRule="atLeast"/>
              <w:rPr>
                <w:rFonts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pPr>
              <w:spacing w:line="0" w:lineRule="atLeast"/>
              <w:rPr>
                <w:rFonts w:ascii="仿宋_GB2312" w:hAnsi="宋体" w:eastAsia="仿宋_GB2312"/>
                <w:sz w:val="24"/>
                <w:szCs w:val="24"/>
              </w:rPr>
            </w:pPr>
            <w:r>
              <w:rPr>
                <w:rFonts w:hint="eastAsia" w:ascii="仿宋_GB2312" w:hAnsi="宋体" w:eastAsia="仿宋_GB2312"/>
                <w:sz w:val="24"/>
                <w:szCs w:val="24"/>
              </w:rPr>
              <w:t>传真：</w:t>
            </w:r>
          </w:p>
          <w:p>
            <w:pPr>
              <w:spacing w:line="0" w:lineRule="atLeast"/>
              <w:rPr>
                <w:rFonts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pPr>
              <w:spacing w:line="0" w:lineRule="atLeast"/>
              <w:rPr>
                <w:rFonts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pPr>
              <w:spacing w:line="0" w:lineRule="atLeast"/>
              <w:rPr>
                <w:rFonts w:ascii="仿宋_GB2312" w:hAnsi="宋体" w:eastAsia="仿宋_GB2312"/>
                <w:sz w:val="24"/>
                <w:szCs w:val="24"/>
              </w:rPr>
            </w:pPr>
            <w:r>
              <w:rPr>
                <w:rFonts w:hint="eastAsia" w:ascii="仿宋_GB2312" w:hAnsi="宋体" w:eastAsia="仿宋_GB2312"/>
                <w:sz w:val="24"/>
                <w:szCs w:val="24"/>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7</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5056"/>
    <w:rsid w:val="0003693D"/>
    <w:rsid w:val="00046AF6"/>
    <w:rsid w:val="00063E06"/>
    <w:rsid w:val="00065E18"/>
    <w:rsid w:val="00095132"/>
    <w:rsid w:val="00097F4B"/>
    <w:rsid w:val="000A22DB"/>
    <w:rsid w:val="000B2499"/>
    <w:rsid w:val="000C1845"/>
    <w:rsid w:val="000D348B"/>
    <w:rsid w:val="000D6A23"/>
    <w:rsid w:val="00103A8D"/>
    <w:rsid w:val="00115EEC"/>
    <w:rsid w:val="001260B7"/>
    <w:rsid w:val="00134486"/>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0103"/>
    <w:rsid w:val="0024696A"/>
    <w:rsid w:val="002B3E65"/>
    <w:rsid w:val="002C7537"/>
    <w:rsid w:val="002F51AC"/>
    <w:rsid w:val="002F66BD"/>
    <w:rsid w:val="0031037C"/>
    <w:rsid w:val="00313EBC"/>
    <w:rsid w:val="003152BD"/>
    <w:rsid w:val="00325814"/>
    <w:rsid w:val="00331F42"/>
    <w:rsid w:val="00335329"/>
    <w:rsid w:val="00341EB9"/>
    <w:rsid w:val="00345E7E"/>
    <w:rsid w:val="00355E41"/>
    <w:rsid w:val="003702A0"/>
    <w:rsid w:val="003732C8"/>
    <w:rsid w:val="00380BAA"/>
    <w:rsid w:val="0038382E"/>
    <w:rsid w:val="00383D99"/>
    <w:rsid w:val="00384194"/>
    <w:rsid w:val="00394D6B"/>
    <w:rsid w:val="003B4E51"/>
    <w:rsid w:val="003C384A"/>
    <w:rsid w:val="00413897"/>
    <w:rsid w:val="00420CB4"/>
    <w:rsid w:val="00423C19"/>
    <w:rsid w:val="004424E8"/>
    <w:rsid w:val="004425BC"/>
    <w:rsid w:val="00466243"/>
    <w:rsid w:val="004875EB"/>
    <w:rsid w:val="004975D5"/>
    <w:rsid w:val="004A5359"/>
    <w:rsid w:val="004C0D37"/>
    <w:rsid w:val="004C1280"/>
    <w:rsid w:val="004C289D"/>
    <w:rsid w:val="004F384B"/>
    <w:rsid w:val="004F5E27"/>
    <w:rsid w:val="005142FA"/>
    <w:rsid w:val="00527733"/>
    <w:rsid w:val="0053268D"/>
    <w:rsid w:val="00560EB5"/>
    <w:rsid w:val="005633CB"/>
    <w:rsid w:val="0058559E"/>
    <w:rsid w:val="005D4F71"/>
    <w:rsid w:val="005F7D9B"/>
    <w:rsid w:val="006015C2"/>
    <w:rsid w:val="0061433F"/>
    <w:rsid w:val="006545BB"/>
    <w:rsid w:val="006734DC"/>
    <w:rsid w:val="006835A9"/>
    <w:rsid w:val="00693CB5"/>
    <w:rsid w:val="006C09FB"/>
    <w:rsid w:val="006D00BD"/>
    <w:rsid w:val="006D3CEC"/>
    <w:rsid w:val="006D5E62"/>
    <w:rsid w:val="006E4DE8"/>
    <w:rsid w:val="0070428B"/>
    <w:rsid w:val="00711ACD"/>
    <w:rsid w:val="00724955"/>
    <w:rsid w:val="007254B5"/>
    <w:rsid w:val="00731BA8"/>
    <w:rsid w:val="00745DDD"/>
    <w:rsid w:val="00746466"/>
    <w:rsid w:val="00753CD1"/>
    <w:rsid w:val="00781AF0"/>
    <w:rsid w:val="00786EDE"/>
    <w:rsid w:val="007875CD"/>
    <w:rsid w:val="007D12CA"/>
    <w:rsid w:val="007D3B2F"/>
    <w:rsid w:val="007D630F"/>
    <w:rsid w:val="007E0D6B"/>
    <w:rsid w:val="007E17DE"/>
    <w:rsid w:val="007E1B98"/>
    <w:rsid w:val="007E6E47"/>
    <w:rsid w:val="00802F4A"/>
    <w:rsid w:val="008127B4"/>
    <w:rsid w:val="00823974"/>
    <w:rsid w:val="0083404A"/>
    <w:rsid w:val="00842B41"/>
    <w:rsid w:val="00856599"/>
    <w:rsid w:val="00882A3F"/>
    <w:rsid w:val="00885219"/>
    <w:rsid w:val="008A7E03"/>
    <w:rsid w:val="008B33B1"/>
    <w:rsid w:val="008C785B"/>
    <w:rsid w:val="008D2F65"/>
    <w:rsid w:val="008D5377"/>
    <w:rsid w:val="008E5E25"/>
    <w:rsid w:val="008F5564"/>
    <w:rsid w:val="00900A5B"/>
    <w:rsid w:val="00907D63"/>
    <w:rsid w:val="0091028A"/>
    <w:rsid w:val="0093613E"/>
    <w:rsid w:val="00975ECA"/>
    <w:rsid w:val="0098053C"/>
    <w:rsid w:val="00981E93"/>
    <w:rsid w:val="009A29A7"/>
    <w:rsid w:val="009C7CE7"/>
    <w:rsid w:val="009D1883"/>
    <w:rsid w:val="009D21BB"/>
    <w:rsid w:val="009D5895"/>
    <w:rsid w:val="00A136C5"/>
    <w:rsid w:val="00A30621"/>
    <w:rsid w:val="00A30F77"/>
    <w:rsid w:val="00A41CBC"/>
    <w:rsid w:val="00A42D2D"/>
    <w:rsid w:val="00A43591"/>
    <w:rsid w:val="00A47E98"/>
    <w:rsid w:val="00A63D7F"/>
    <w:rsid w:val="00A7381A"/>
    <w:rsid w:val="00A81560"/>
    <w:rsid w:val="00AA207F"/>
    <w:rsid w:val="00AB6095"/>
    <w:rsid w:val="00AC569D"/>
    <w:rsid w:val="00AD229C"/>
    <w:rsid w:val="00AD747D"/>
    <w:rsid w:val="00AF29F9"/>
    <w:rsid w:val="00B01341"/>
    <w:rsid w:val="00B0144D"/>
    <w:rsid w:val="00B14267"/>
    <w:rsid w:val="00B171A3"/>
    <w:rsid w:val="00B25B73"/>
    <w:rsid w:val="00B353E5"/>
    <w:rsid w:val="00B51C96"/>
    <w:rsid w:val="00B63039"/>
    <w:rsid w:val="00B7406B"/>
    <w:rsid w:val="00B74619"/>
    <w:rsid w:val="00B82A10"/>
    <w:rsid w:val="00B82CED"/>
    <w:rsid w:val="00B83D41"/>
    <w:rsid w:val="00B9652E"/>
    <w:rsid w:val="00B97765"/>
    <w:rsid w:val="00BA640B"/>
    <w:rsid w:val="00BD78FB"/>
    <w:rsid w:val="00BF2809"/>
    <w:rsid w:val="00C2100D"/>
    <w:rsid w:val="00C258E8"/>
    <w:rsid w:val="00C31E40"/>
    <w:rsid w:val="00C41533"/>
    <w:rsid w:val="00C56465"/>
    <w:rsid w:val="00C7241E"/>
    <w:rsid w:val="00C743A3"/>
    <w:rsid w:val="00C97848"/>
    <w:rsid w:val="00C97E7F"/>
    <w:rsid w:val="00D13F76"/>
    <w:rsid w:val="00D24639"/>
    <w:rsid w:val="00D32CC0"/>
    <w:rsid w:val="00D52B4B"/>
    <w:rsid w:val="00D74586"/>
    <w:rsid w:val="00D84546"/>
    <w:rsid w:val="00DA002C"/>
    <w:rsid w:val="00DC1EF9"/>
    <w:rsid w:val="00DD194E"/>
    <w:rsid w:val="00DD7DB9"/>
    <w:rsid w:val="00E06C12"/>
    <w:rsid w:val="00E224BD"/>
    <w:rsid w:val="00E2759B"/>
    <w:rsid w:val="00E30627"/>
    <w:rsid w:val="00E35EE3"/>
    <w:rsid w:val="00E45A9C"/>
    <w:rsid w:val="00E50D02"/>
    <w:rsid w:val="00E61805"/>
    <w:rsid w:val="00E74639"/>
    <w:rsid w:val="00E9659A"/>
    <w:rsid w:val="00EB7745"/>
    <w:rsid w:val="00ED1B47"/>
    <w:rsid w:val="00F0109D"/>
    <w:rsid w:val="00F16E4B"/>
    <w:rsid w:val="00F3267A"/>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9181A3A"/>
    <w:rsid w:val="20B41DEC"/>
    <w:rsid w:val="216E14AA"/>
    <w:rsid w:val="225D796E"/>
    <w:rsid w:val="24EC6623"/>
    <w:rsid w:val="29DC4AF8"/>
    <w:rsid w:val="2A98798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8C113A7"/>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2E2AD6"/>
    <w:rsid w:val="783458C3"/>
    <w:rsid w:val="79F62347"/>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767DE2-81EE-49A3-A46B-9C7C29FEDEB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1102</Words>
  <Characters>6285</Characters>
  <Lines>52</Lines>
  <Paragraphs>14</Paragraphs>
  <TotalTime>1</TotalTime>
  <ScaleCrop>false</ScaleCrop>
  <LinksUpToDate>false</LinksUpToDate>
  <CharactersWithSpaces>7373</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2023-10-13T01:15:00Z</cp:lastPrinted>
  <dcterms:modified xsi:type="dcterms:W3CDTF">2023-12-11T06:29:26Z</dcterms:modified>
  <dc:title>镇江海纳川物流产业发展有限责任公司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