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highlight w:val="yellow"/>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jc w:val="left"/>
        <w:rPr>
          <w:rFonts w:cs="仿宋_GB2312" w:asciiTheme="minorEastAsia" w:hAnsiTheme="minorEastAsia" w:eastAsiaTheme="minorEastAsia"/>
          <w:b/>
          <w:kern w:val="1"/>
          <w:sz w:val="24"/>
          <w:u w:val="single"/>
        </w:rPr>
      </w:pPr>
      <w:r>
        <w:rPr>
          <w:rFonts w:hint="eastAsia"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0"/>
          <w:szCs w:val="30"/>
          <w:u w:val="single"/>
        </w:rPr>
        <w:t>2024年度消防器材框架协议采购</w:t>
      </w:r>
    </w:p>
    <w:p>
      <w:pPr>
        <w:spacing w:line="600" w:lineRule="exact"/>
        <w:jc w:val="left"/>
        <w:rPr>
          <w:rFonts w:cs="ÑÚSå" w:asciiTheme="minorEastAsia" w:hAnsiTheme="minorEastAsia" w:eastAsiaTheme="minorEastAsia"/>
          <w:bCs/>
          <w:kern w:val="1"/>
          <w:szCs w:val="21"/>
        </w:rPr>
      </w:pPr>
      <w:r>
        <w:rPr>
          <w:rFonts w:hint="eastAsia" w:ascii="方正仿宋简体" w:hAnsi="方正仿宋简体" w:eastAsia="方正仿宋简体" w:cs="方正仿宋简体"/>
          <w:bCs/>
          <w:sz w:val="32"/>
          <w:szCs w:val="32"/>
        </w:rPr>
        <w:t>（服务</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：2024</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—2024</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w:t>
      </w:r>
      <w:r>
        <w:rPr>
          <w:rFonts w:hint="eastAsia" w:ascii="方正仿宋简体" w:hAnsi="方正仿宋简体" w:eastAsia="方正仿宋简体" w:cs="方正仿宋简体"/>
          <w:sz w:val="30"/>
          <w:szCs w:val="30"/>
          <w:u w:val="single"/>
        </w:rPr>
        <w:t>通知送货后15天内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0"/>
          <w:szCs w:val="30"/>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2023年12月21日下午3:00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2023年12月21日下午3:00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pStyle w:val="3"/>
        <w:spacing w:line="600" w:lineRule="exact"/>
        <w:ind w:firstLine="640" w:firstLineChars="200"/>
        <w:rPr>
          <w:rFonts w:ascii="方正仿宋简体" w:hAnsi="方正仿宋简体" w:eastAsia="方正仿宋简体" w:cs="方正仿宋简体"/>
          <w:kern w:val="2"/>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招标，中标单位根据报价明细分别与镇江海纳川物流产业发展有限责任公司（简称海纳川）、镇江海纳川公铁运输有限公司（简称公铁公司）、江苏兴普船务有限公司（简称兴普船务）签订合同。</w:t>
      </w:r>
    </w:p>
    <w:p>
      <w:pPr>
        <w:wordWrap w:val="0"/>
        <w:spacing w:line="60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1.货物清单(详见附件1：</w:t>
      </w:r>
      <w:r>
        <w:rPr>
          <w:rFonts w:hint="eastAsia" w:ascii="方正仿宋简体" w:hAnsi="方正仿宋简体" w:eastAsia="方正仿宋简体" w:cs="方正仿宋简体"/>
          <w:b/>
          <w:bCs/>
          <w:sz w:val="32"/>
          <w:szCs w:val="32"/>
        </w:rPr>
        <w:t>报价明细</w:t>
      </w:r>
      <w:r>
        <w:rPr>
          <w:rFonts w:hint="eastAsia" w:ascii="方正仿宋简体" w:hAnsi="方正仿宋简体" w:eastAsia="方正仿宋简体" w:cs="方正仿宋简体"/>
          <w:bCs/>
          <w:sz w:val="32"/>
          <w:szCs w:val="32"/>
        </w:rPr>
        <w:t>)　</w:t>
      </w:r>
    </w:p>
    <w:p>
      <w:pPr>
        <w:spacing w:line="600" w:lineRule="exact"/>
        <w:ind w:firstLine="63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2.技术要求</w:t>
      </w:r>
    </w:p>
    <w:p>
      <w:pPr>
        <w:pStyle w:val="4"/>
        <w:ind w:firstLine="640" w:firstLineChars="200"/>
        <w:jc w:val="both"/>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货物清单(详见附件1：</w:t>
      </w:r>
      <w:r>
        <w:rPr>
          <w:rFonts w:hint="eastAsia" w:ascii="方正仿宋简体" w:hAnsi="方正仿宋简体" w:eastAsia="方正仿宋简体" w:cs="方正仿宋简体"/>
          <w:b/>
          <w:bCs/>
          <w:sz w:val="32"/>
          <w:szCs w:val="32"/>
        </w:rPr>
        <w:t>报价明细</w:t>
      </w:r>
      <w:r>
        <w:rPr>
          <w:rFonts w:hint="eastAsia" w:ascii="方正仿宋简体" w:hAnsi="方正仿宋简体" w:eastAsia="方正仿宋简体" w:cs="方正仿宋简体"/>
          <w:bCs/>
          <w:sz w:val="32"/>
          <w:szCs w:val="32"/>
        </w:rPr>
        <w:t>)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w:t>
      </w: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1.投标方必须严格按照我公司招标文件物料的规格、型号及物料描述要求报价，不得修改报价函的内容和调整顺序，所供产品应符合安全规范要求和技术标准；有强制认证要求的消防产品,必须提供3C认证等相关资料。</w:t>
      </w:r>
    </w:p>
    <w:p>
      <w:pPr>
        <w:spacing w:line="360" w:lineRule="auto"/>
        <w:ind w:firstLine="640" w:firstLineChars="2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2.标的物须符合相应国家标准或行业标准，产品质量合格（附产品合格证和相关技术资料）满足我公司使用要求。</w:t>
      </w:r>
    </w:p>
    <w:p>
      <w:pPr>
        <w:spacing w:line="360" w:lineRule="auto"/>
        <w:ind w:firstLine="640" w:firstLineChars="2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3</w:t>
      </w:r>
      <w:r>
        <w:rPr>
          <w:rFonts w:ascii="方正仿宋简体" w:hAnsi="方正仿宋简体" w:eastAsia="方正仿宋简体" w:cs="方正仿宋简体"/>
          <w:bCs/>
          <w:kern w:val="44"/>
          <w:sz w:val="32"/>
          <w:szCs w:val="32"/>
        </w:rPr>
        <w:t>.请按我公司招标</w:t>
      </w:r>
      <w:r>
        <w:rPr>
          <w:rFonts w:hint="eastAsia" w:ascii="方正仿宋简体" w:hAnsi="方正仿宋简体" w:eastAsia="方正仿宋简体" w:cs="方正仿宋简体"/>
          <w:bCs/>
          <w:kern w:val="44"/>
          <w:sz w:val="32"/>
          <w:szCs w:val="32"/>
        </w:rPr>
        <w:t>文件</w:t>
      </w:r>
      <w:r>
        <w:rPr>
          <w:rFonts w:ascii="方正仿宋简体" w:hAnsi="方正仿宋简体" w:eastAsia="方正仿宋简体" w:cs="方正仿宋简体"/>
          <w:bCs/>
          <w:kern w:val="44"/>
          <w:sz w:val="32"/>
          <w:szCs w:val="32"/>
        </w:rPr>
        <w:t>中的</w:t>
      </w:r>
      <w:r>
        <w:rPr>
          <w:rFonts w:hint="eastAsia" w:ascii="方正仿宋简体" w:hAnsi="方正仿宋简体" w:eastAsia="方正仿宋简体" w:cs="方正仿宋简体"/>
          <w:bCs/>
          <w:kern w:val="44"/>
          <w:sz w:val="32"/>
          <w:szCs w:val="32"/>
        </w:rPr>
        <w:t>品牌、</w:t>
      </w:r>
      <w:r>
        <w:rPr>
          <w:rFonts w:ascii="方正仿宋简体" w:hAnsi="方正仿宋简体" w:eastAsia="方正仿宋简体" w:cs="方正仿宋简体"/>
          <w:bCs/>
          <w:kern w:val="44"/>
          <w:sz w:val="32"/>
          <w:szCs w:val="32"/>
        </w:rPr>
        <w:t>型号及</w:t>
      </w:r>
      <w:r>
        <w:rPr>
          <w:rFonts w:hint="eastAsia" w:ascii="方正仿宋简体" w:hAnsi="方正仿宋简体" w:eastAsia="方正仿宋简体" w:cs="方正仿宋简体"/>
          <w:bCs/>
          <w:kern w:val="44"/>
          <w:sz w:val="32"/>
          <w:szCs w:val="32"/>
        </w:rPr>
        <w:t>物料描述</w:t>
      </w:r>
      <w:r>
        <w:rPr>
          <w:rFonts w:ascii="方正仿宋简体" w:hAnsi="方正仿宋简体" w:eastAsia="方正仿宋简体" w:cs="方正仿宋简体"/>
          <w:bCs/>
          <w:kern w:val="44"/>
          <w:sz w:val="32"/>
          <w:szCs w:val="32"/>
        </w:rPr>
        <w:t>要求报价，若变更型号需经我公司同意，提供的产品不得低于</w:t>
      </w:r>
      <w:r>
        <w:rPr>
          <w:rFonts w:hint="eastAsia" w:ascii="方正仿宋简体" w:hAnsi="方正仿宋简体" w:eastAsia="方正仿宋简体" w:cs="方正仿宋简体"/>
          <w:bCs/>
          <w:kern w:val="44"/>
          <w:sz w:val="32"/>
          <w:szCs w:val="32"/>
        </w:rPr>
        <w:t>招标文件</w:t>
      </w:r>
      <w:r>
        <w:rPr>
          <w:rFonts w:hint="eastAsia" w:ascii="方正仿宋简体" w:hAnsi="方正仿宋简体" w:eastAsia="方正仿宋简体" w:cs="方正仿宋简体"/>
          <w:bCs/>
          <w:kern w:val="44"/>
          <w:sz w:val="32"/>
          <w:szCs w:val="32"/>
          <w:lang w:val="en-US" w:eastAsia="zh-CN"/>
        </w:rPr>
        <w:t>要求</w:t>
      </w:r>
      <w:r>
        <w:rPr>
          <w:rFonts w:ascii="方正仿宋简体" w:hAnsi="方正仿宋简体" w:eastAsia="方正仿宋简体" w:cs="方正仿宋简体"/>
          <w:bCs/>
          <w:kern w:val="44"/>
          <w:sz w:val="32"/>
          <w:szCs w:val="32"/>
        </w:rPr>
        <w:t>品牌的品质</w:t>
      </w:r>
      <w:r>
        <w:rPr>
          <w:rFonts w:hint="eastAsia" w:ascii="方正仿宋简体" w:hAnsi="方正仿宋简体" w:eastAsia="方正仿宋简体" w:cs="方正仿宋简体"/>
          <w:bCs/>
          <w:kern w:val="44"/>
          <w:sz w:val="32"/>
          <w:szCs w:val="32"/>
        </w:rPr>
        <w:t>；我公司未指定品牌的，报价时也须注明报价产品品牌，提供生产厂家及相关资质材料，否</w:t>
      </w:r>
      <w:r>
        <w:rPr>
          <w:rFonts w:ascii="方正仿宋简体" w:hAnsi="方正仿宋简体" w:eastAsia="方正仿宋简体" w:cs="方正仿宋简体"/>
          <w:bCs/>
          <w:kern w:val="44"/>
          <w:sz w:val="32"/>
          <w:szCs w:val="32"/>
        </w:rPr>
        <w:t>则</w:t>
      </w:r>
      <w:r>
        <w:rPr>
          <w:rFonts w:hint="eastAsia" w:ascii="方正仿宋简体" w:hAnsi="方正仿宋简体" w:eastAsia="方正仿宋简体" w:cs="方正仿宋简体"/>
          <w:bCs/>
          <w:kern w:val="44"/>
          <w:sz w:val="32"/>
          <w:szCs w:val="32"/>
        </w:rPr>
        <w:t>可能按</w:t>
      </w:r>
      <w:r>
        <w:rPr>
          <w:rFonts w:ascii="方正仿宋简体" w:hAnsi="方正仿宋简体" w:eastAsia="方正仿宋简体" w:cs="方正仿宋简体"/>
          <w:bCs/>
          <w:color w:val="FF0000"/>
          <w:kern w:val="44"/>
          <w:sz w:val="32"/>
          <w:szCs w:val="32"/>
        </w:rPr>
        <w:t>废标</w:t>
      </w:r>
      <w:r>
        <w:rPr>
          <w:rFonts w:ascii="方正仿宋简体" w:hAnsi="方正仿宋简体" w:eastAsia="方正仿宋简体" w:cs="方正仿宋简体"/>
          <w:bCs/>
          <w:kern w:val="44"/>
          <w:sz w:val="32"/>
          <w:szCs w:val="32"/>
        </w:rPr>
        <w:t>处</w:t>
      </w:r>
      <w:r>
        <w:rPr>
          <w:rFonts w:hint="eastAsia" w:ascii="方正仿宋简体" w:hAnsi="方正仿宋简体" w:eastAsia="方正仿宋简体" w:cs="方正仿宋简体"/>
          <w:bCs/>
          <w:kern w:val="44"/>
          <w:sz w:val="32"/>
          <w:szCs w:val="32"/>
        </w:rPr>
        <w:t>理</w:t>
      </w:r>
      <w:r>
        <w:rPr>
          <w:rFonts w:ascii="方正仿宋简体" w:hAnsi="方正仿宋简体" w:eastAsia="方正仿宋简体" w:cs="方正仿宋简体"/>
          <w:bCs/>
          <w:kern w:val="44"/>
          <w:sz w:val="32"/>
          <w:szCs w:val="32"/>
        </w:rPr>
        <w:t>。</w:t>
      </w:r>
    </w:p>
    <w:p>
      <w:pPr>
        <w:wordWrap w:val="0"/>
        <w:spacing w:line="360" w:lineRule="auto"/>
        <w:ind w:firstLine="640" w:firstLineChars="2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4</w:t>
      </w:r>
      <w:r>
        <w:rPr>
          <w:rFonts w:ascii="方正仿宋简体" w:hAnsi="方正仿宋简体" w:eastAsia="方正仿宋简体" w:cs="方正仿宋简体"/>
          <w:bCs/>
          <w:kern w:val="44"/>
          <w:sz w:val="32"/>
          <w:szCs w:val="32"/>
        </w:rPr>
        <w:t>.中标方</w:t>
      </w:r>
      <w:r>
        <w:rPr>
          <w:rFonts w:hint="eastAsia" w:ascii="方正仿宋简体" w:hAnsi="方正仿宋简体" w:eastAsia="方正仿宋简体" w:cs="方正仿宋简体"/>
          <w:bCs/>
          <w:kern w:val="44"/>
          <w:sz w:val="32"/>
          <w:szCs w:val="32"/>
        </w:rPr>
        <w:t>须根据我公司需要，</w:t>
      </w:r>
      <w:r>
        <w:rPr>
          <w:rFonts w:ascii="方正仿宋简体" w:hAnsi="方正仿宋简体" w:eastAsia="方正仿宋简体" w:cs="方正仿宋简体"/>
          <w:bCs/>
          <w:kern w:val="44"/>
          <w:sz w:val="32"/>
          <w:szCs w:val="32"/>
        </w:rPr>
        <w:t>提供样品及检测报告，</w:t>
      </w:r>
      <w:r>
        <w:rPr>
          <w:rFonts w:hint="eastAsia" w:ascii="方正仿宋简体" w:hAnsi="方正仿宋简体" w:eastAsia="方正仿宋简体" w:cs="方正仿宋简体"/>
          <w:bCs/>
          <w:kern w:val="44"/>
          <w:sz w:val="32"/>
          <w:szCs w:val="32"/>
        </w:rPr>
        <w:t>经</w:t>
      </w:r>
      <w:r>
        <w:rPr>
          <w:rFonts w:ascii="方正仿宋简体" w:hAnsi="方正仿宋简体" w:eastAsia="方正仿宋简体" w:cs="方正仿宋简体"/>
          <w:bCs/>
          <w:kern w:val="44"/>
          <w:sz w:val="32"/>
          <w:szCs w:val="32"/>
        </w:rPr>
        <w:t>审核</w:t>
      </w:r>
      <w:r>
        <w:rPr>
          <w:rFonts w:hint="eastAsia" w:ascii="方正仿宋简体" w:hAnsi="方正仿宋简体" w:eastAsia="方正仿宋简体" w:cs="方正仿宋简体"/>
          <w:bCs/>
          <w:kern w:val="44"/>
          <w:sz w:val="32"/>
          <w:szCs w:val="32"/>
        </w:rPr>
        <w:t>认可</w:t>
      </w:r>
      <w:r>
        <w:rPr>
          <w:rFonts w:ascii="方正仿宋简体" w:hAnsi="方正仿宋简体" w:eastAsia="方正仿宋简体" w:cs="方正仿宋简体"/>
          <w:bCs/>
          <w:kern w:val="44"/>
          <w:sz w:val="32"/>
          <w:szCs w:val="32"/>
        </w:rPr>
        <w:t>后，</w:t>
      </w:r>
      <w:r>
        <w:rPr>
          <w:rFonts w:hint="eastAsia" w:ascii="方正仿宋简体" w:hAnsi="方正仿宋简体" w:eastAsia="方正仿宋简体" w:cs="方正仿宋简体"/>
          <w:bCs/>
          <w:kern w:val="44"/>
          <w:sz w:val="32"/>
          <w:szCs w:val="32"/>
        </w:rPr>
        <w:t>签订采购合同，样品封存，按样品供货</w:t>
      </w:r>
      <w:r>
        <w:rPr>
          <w:rFonts w:ascii="方正仿宋简体" w:hAnsi="方正仿宋简体" w:eastAsia="方正仿宋简体" w:cs="方正仿宋简体"/>
          <w:bCs/>
          <w:kern w:val="44"/>
          <w:sz w:val="32"/>
          <w:szCs w:val="32"/>
        </w:rPr>
        <w:t>。</w:t>
      </w:r>
    </w:p>
    <w:p>
      <w:pPr>
        <w:wordWrap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u w:val="single"/>
        </w:rPr>
        <w:t>1.《营业执照》、《税务登记证》、《组织机构代码证》（或三证合一）（复印件</w:t>
      </w:r>
      <w:r>
        <w:rPr>
          <w:rFonts w:hint="eastAsia" w:ascii="方正仿宋简体" w:hAnsi="方正仿宋简体" w:eastAsia="方正仿宋简体" w:cs="方正仿宋简体"/>
          <w:kern w:val="1"/>
          <w:sz w:val="32"/>
          <w:szCs w:val="32"/>
          <w:u w:val="single"/>
        </w:rPr>
        <w:t>需盖公章）。</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2"/>
        <w:keepNext w:val="0"/>
        <w:keepLines w:val="0"/>
        <w:pageBreakBefore w:val="0"/>
        <w:widowControl w:val="0"/>
        <w:kinsoku/>
        <w:wordWrap/>
        <w:overflowPunct/>
        <w:topLinePunct w:val="0"/>
        <w:autoSpaceDE/>
        <w:autoSpaceDN/>
        <w:bidi w:val="0"/>
        <w:spacing w:after="0" w:line="600" w:lineRule="exact"/>
        <w:textAlignment w:val="auto"/>
        <w:rPr>
          <w:rFonts w:hint="eastAsia" w:ascii="方正仿宋简体" w:hAnsi="方正仿宋简体" w:eastAsia="方正仿宋简体" w:cs="方正仿宋简体"/>
          <w:bCs/>
          <w:sz w:val="30"/>
          <w:szCs w:val="30"/>
        </w:rPr>
      </w:pPr>
      <w:r>
        <w:rPr>
          <w:rFonts w:hint="eastAsia"/>
        </w:rPr>
        <w:t xml:space="preserve"> </w:t>
      </w:r>
      <w:r>
        <w:t xml:space="preserve">     </w:t>
      </w: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0"/>
          <w:szCs w:val="30"/>
        </w:rPr>
        <w:t>不接受被列入失信被执行人、重大违法案件当事人投标。</w:t>
      </w:r>
    </w:p>
    <w:p>
      <w:pPr>
        <w:pStyle w:val="2"/>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2"/>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投标人需认真核算货物的单价，</w:t>
      </w:r>
      <w:r>
        <w:rPr>
          <w:rFonts w:hint="eastAsia" w:ascii="方正仿宋简体" w:hAnsi="方正仿宋简体" w:eastAsia="方正仿宋简体" w:cs="方正仿宋简体"/>
          <w:b w:val="0"/>
          <w:bCs w:val="0"/>
          <w:color w:val="auto"/>
          <w:sz w:val="32"/>
          <w:szCs w:val="32"/>
        </w:rPr>
        <w:t>发现明显</w:t>
      </w:r>
      <w:r>
        <w:rPr>
          <w:rFonts w:hint="eastAsia" w:ascii="方正仿宋简体" w:hAnsi="方正仿宋简体" w:eastAsia="方正仿宋简体" w:cs="方正仿宋简体"/>
          <w:bCs/>
          <w:sz w:val="32"/>
          <w:szCs w:val="32"/>
        </w:rPr>
        <w:t>存在恶性竞争、有串通等扰乱我方经营秩序的恶劣情况，</w:t>
      </w:r>
      <w:r>
        <w:rPr>
          <w:rFonts w:hint="eastAsia" w:ascii="方正仿宋简体" w:hAnsi="方正仿宋简体" w:eastAsia="方正仿宋简体" w:cs="方正仿宋简体"/>
          <w:b/>
          <w:bCs w:val="0"/>
          <w:color w:val="FF0000"/>
          <w:sz w:val="32"/>
          <w:szCs w:val="32"/>
        </w:rPr>
        <w:t>一律按废标处理</w:t>
      </w:r>
      <w:r>
        <w:rPr>
          <w:rFonts w:hint="eastAsia" w:ascii="方正仿宋简体" w:hAnsi="方正仿宋简体" w:eastAsia="方正仿宋简体" w:cs="方正仿宋简体"/>
          <w:bCs/>
          <w:sz w:val="32"/>
          <w:szCs w:val="32"/>
        </w:rPr>
        <w:t>。</w:t>
      </w:r>
    </w:p>
    <w:p>
      <w:pPr>
        <w:pStyle w:val="3"/>
        <w:keepNext w:val="0"/>
        <w:keepLines w:val="0"/>
        <w:pageBreakBefore w:val="0"/>
        <w:widowControl w:val="0"/>
        <w:kinsoku/>
        <w:wordWrap/>
        <w:overflowPunct/>
        <w:topLinePunct w:val="0"/>
        <w:autoSpaceDE/>
        <w:autoSpaceDN/>
        <w:bidi w:val="0"/>
        <w:spacing w:line="600" w:lineRule="exact"/>
        <w:textAlignment w:val="auto"/>
        <w:rPr>
          <w:rFonts w:ascii="方正仿宋简体" w:hAnsi="方正仿宋简体" w:eastAsia="方正仿宋简体" w:cs="方正仿宋简体"/>
          <w:bCs/>
          <w:kern w:val="2"/>
          <w:sz w:val="32"/>
          <w:szCs w:val="32"/>
        </w:rPr>
      </w:pPr>
      <w:r>
        <w:rPr>
          <w:rFonts w:hint="eastAsia"/>
        </w:rPr>
        <w:t xml:space="preserve">       </w:t>
      </w: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kern w:val="2"/>
          <w:sz w:val="30"/>
          <w:szCs w:val="30"/>
        </w:rPr>
        <w:t>。</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pStyle w:val="2"/>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          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请各投标人保持通讯畅通，便于</w:t>
      </w:r>
      <w:r>
        <w:rPr>
          <w:rFonts w:hint="eastAsia" w:ascii="方正仿宋简体" w:hAnsi="方正仿宋简体" w:eastAsia="方正仿宋简体" w:cs="方正仿宋简体"/>
          <w:kern w:val="1"/>
          <w:sz w:val="30"/>
          <w:szCs w:val="30"/>
        </w:rPr>
        <w:t>评标小组在开标现场电话联系</w:t>
      </w:r>
      <w:r>
        <w:rPr>
          <w:rFonts w:hint="eastAsia" w:ascii="方正仿宋简体" w:hAnsi="方正仿宋简体" w:eastAsia="方正仿宋简体" w:cs="方正仿宋简体"/>
          <w:bCs/>
          <w:kern w:val="1"/>
          <w:sz w:val="30"/>
          <w:szCs w:val="30"/>
        </w:rPr>
        <w:t>。</w:t>
      </w:r>
      <w:r>
        <w:rPr>
          <w:rFonts w:hint="eastAsia" w:ascii="方正仿宋简体" w:hAnsi="方正仿宋简体" w:eastAsia="方正仿宋简体" w:cs="方正仿宋简体"/>
          <w:sz w:val="30"/>
          <w:szCs w:val="30"/>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0"/>
          <w:szCs w:val="30"/>
        </w:rPr>
        <w:t>同等价格下，质量指标、售后服务更好为中标候选人。</w:t>
      </w:r>
    </w:p>
    <w:p>
      <w:pPr>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招标人如发现招标过程中有串标、陪标等扰乱招标人经营秩序的恶劣情况，经招标人评标小组评定可作废标处理，并可将相关投标方列入供应商负面清单，一年内不再接受参与投标工作</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w:t>
      </w:r>
      <w:r>
        <w:rPr>
          <w:rFonts w:hint="eastAsia" w:ascii="方正仿宋简体" w:hAnsi="方正仿宋简体" w:eastAsia="方正仿宋简体" w:cs="方正仿宋简体"/>
          <w:bCs/>
          <w:kern w:val="1"/>
          <w:sz w:val="30"/>
          <w:szCs w:val="30"/>
        </w:rPr>
        <w:t>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招标人对违反约定的投标人或中标人将按《镇江海纳川物流产业发展有限责任公司招标采购管理规定》中供应商管理对投标人进行管理考核（详见附件2）。</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0"/>
          <w:szCs w:val="30"/>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0"/>
          <w:szCs w:val="30"/>
        </w:rPr>
        <w:t>本次招标为企业自主公开招标，属生产经营性商务行为，解释权归镇江海纳川物流产业发展有限责任公司所有。</w:t>
      </w:r>
    </w:p>
    <w:p>
      <w:pPr>
        <w:pStyle w:val="2"/>
      </w:pPr>
    </w:p>
    <w:p>
      <w:pPr>
        <w:pStyle w:val="3"/>
      </w:pPr>
    </w:p>
    <w:p>
      <w:pPr>
        <w:pStyle w:val="3"/>
      </w:pPr>
    </w:p>
    <w:p>
      <w:pPr>
        <w:pStyle w:val="3"/>
      </w:pPr>
    </w:p>
    <w:p>
      <w:pPr>
        <w:pStyle w:val="3"/>
      </w:pPr>
    </w:p>
    <w:p>
      <w:pPr>
        <w:pStyle w:val="3"/>
      </w:pPr>
    </w:p>
    <w:p>
      <w:pPr>
        <w:pStyle w:val="3"/>
      </w:pP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pPr w:leftFromText="180" w:rightFromText="180" w:vertAnchor="text" w:horzAnchor="page" w:tblpX="1765" w:tblpY="272"/>
        <w:tblOverlap w:val="never"/>
        <w:tblW w:w="8625" w:type="dxa"/>
        <w:tblInd w:w="0" w:type="dxa"/>
        <w:tblLayout w:type="fixed"/>
        <w:tblCellMar>
          <w:top w:w="0" w:type="dxa"/>
          <w:left w:w="108" w:type="dxa"/>
          <w:bottom w:w="0" w:type="dxa"/>
          <w:right w:w="108" w:type="dxa"/>
        </w:tblCellMar>
      </w:tblPr>
      <w:tblGrid>
        <w:gridCol w:w="4905"/>
        <w:gridCol w:w="3720"/>
      </w:tblGrid>
      <w:tr>
        <w:trPr>
          <w:trHeight w:val="680" w:hRule="exact"/>
        </w:trPr>
        <w:tc>
          <w:tcPr>
            <w:tcW w:w="490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项目名称</w:t>
            </w:r>
          </w:p>
        </w:tc>
        <w:tc>
          <w:tcPr>
            <w:tcW w:w="372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报价（含税）</w:t>
            </w:r>
          </w:p>
        </w:tc>
      </w:tr>
      <w:tr>
        <w:tblPrEx>
          <w:tblCellMar>
            <w:top w:w="0" w:type="dxa"/>
            <w:left w:w="108" w:type="dxa"/>
            <w:bottom w:w="0" w:type="dxa"/>
            <w:right w:w="108" w:type="dxa"/>
          </w:tblCellMar>
        </w:tblPrEx>
        <w:trPr>
          <w:trHeight w:val="620" w:hRule="exact"/>
        </w:trPr>
        <w:tc>
          <w:tcPr>
            <w:tcW w:w="49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2024年度消防器材框架协议采购</w:t>
            </w:r>
          </w:p>
        </w:tc>
        <w:tc>
          <w:tcPr>
            <w:tcW w:w="3720"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方正仿宋简体" w:hAnsi="方正仿宋简体" w:eastAsia="方正仿宋简体" w:cs="方正仿宋简体"/>
                <w:bCs/>
                <w:sz w:val="24"/>
              </w:rPr>
            </w:pPr>
          </w:p>
        </w:tc>
      </w:tr>
      <w:tr>
        <w:tblPrEx>
          <w:tblCellMar>
            <w:top w:w="0" w:type="dxa"/>
            <w:left w:w="108" w:type="dxa"/>
            <w:bottom w:w="0" w:type="dxa"/>
            <w:right w:w="108" w:type="dxa"/>
          </w:tblCellMar>
        </w:tblPrEx>
        <w:trPr>
          <w:trHeight w:val="680" w:hRule="exact"/>
        </w:trPr>
        <w:tc>
          <w:tcPr>
            <w:tcW w:w="4905" w:type="dxa"/>
            <w:tcBorders>
              <w:top w:val="single" w:color="000000" w:sz="4" w:space="0"/>
              <w:left w:val="single" w:color="000000" w:sz="4" w:space="0"/>
              <w:bottom w:val="single" w:color="000000" w:sz="4" w:space="0"/>
              <w:right w:val="single" w:color="000000" w:sz="4" w:space="0"/>
            </w:tcBorders>
            <w:vAlign w:val="center"/>
          </w:tcPr>
          <w:p>
            <w:pPr>
              <w:spacing w:line="480" w:lineRule="auto"/>
              <w:jc w:val="left"/>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服务期限：</w:t>
            </w:r>
            <w:r>
              <w:rPr>
                <w:rFonts w:hint="eastAsia" w:ascii="方正仿宋简体" w:hAnsi="方正仿宋简体" w:eastAsia="方正仿宋简体" w:cs="方正仿宋简体"/>
                <w:color w:val="000000"/>
                <w:kern w:val="0"/>
                <w:sz w:val="22"/>
                <w:szCs w:val="22"/>
              </w:rPr>
              <w:t>2024.1.1-2024.12.31</w:t>
            </w:r>
          </w:p>
        </w:tc>
        <w:tc>
          <w:tcPr>
            <w:tcW w:w="3720" w:type="dxa"/>
            <w:tcBorders>
              <w:top w:val="single" w:color="000000" w:sz="4" w:space="0"/>
              <w:left w:val="single" w:color="000000" w:sz="4" w:space="0"/>
              <w:bottom w:val="single" w:color="000000" w:sz="4" w:space="0"/>
              <w:right w:val="single" w:color="000000" w:sz="4" w:space="0"/>
            </w:tcBorders>
            <w:vAlign w:val="center"/>
          </w:tcPr>
          <w:p>
            <w:pPr>
              <w:spacing w:line="480" w:lineRule="auto"/>
              <w:jc w:val="left"/>
              <w:rPr>
                <w:rFonts w:hint="eastAsia" w:ascii="方正仿宋简体" w:hAnsi="方正仿宋简体" w:eastAsia="方正仿宋简体" w:cs="方正仿宋简体"/>
                <w:bCs/>
                <w:sz w:val="24"/>
              </w:rPr>
            </w:pPr>
            <w:r>
              <w:rPr>
                <w:rFonts w:hint="eastAsia" w:ascii="方正仿宋简体" w:hAnsi="方正仿宋简体" w:eastAsia="方正仿宋简体" w:cs="方正仿宋简体"/>
                <w:bCs/>
                <w:sz w:val="24"/>
              </w:rPr>
              <w:t>报价有效期：</w:t>
            </w:r>
            <w:r>
              <w:rPr>
                <w:rFonts w:hint="eastAsia" w:ascii="方正仿宋简体" w:hAnsi="方正仿宋简体" w:eastAsia="方正仿宋简体" w:cs="方正仿宋简体"/>
                <w:color w:val="000000"/>
                <w:kern w:val="0"/>
                <w:sz w:val="22"/>
                <w:szCs w:val="22"/>
              </w:rPr>
              <w:t>2024.1.1-2024.12.31</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rPr>
          <w:rFonts w:ascii="方正仿宋简体" w:hAnsi="方正仿宋简体" w:eastAsia="方正仿宋简体" w:cs="方正仿宋简体"/>
          <w:sz w:val="32"/>
          <w:szCs w:val="32"/>
        </w:rPr>
      </w:pPr>
    </w:p>
    <w:p>
      <w:pPr>
        <w:pStyle w:val="2"/>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pStyle w:val="3"/>
        <w:rPr>
          <w:rFonts w:ascii="方正仿宋简体" w:hAnsi="方正仿宋简体" w:eastAsia="方正仿宋简体" w:cs="方正仿宋简体"/>
          <w:sz w:val="32"/>
          <w:szCs w:val="32"/>
        </w:rPr>
      </w:pPr>
    </w:p>
    <w:p>
      <w:pPr>
        <w:rPr>
          <w:rFonts w:hint="eastAsia" w:ascii="方正小标宋简体" w:hAnsi="宋体" w:eastAsia="方正小标宋简体" w:cs="宋体"/>
          <w:sz w:val="32"/>
          <w:szCs w:val="32"/>
          <w:lang w:eastAsia="zh-CN"/>
        </w:rPr>
      </w:pPr>
      <w:r>
        <w:rPr>
          <w:rFonts w:hint="eastAsia" w:ascii="方正小标宋简体" w:hAnsi="宋体" w:eastAsia="方正小标宋简体" w:cs="宋体"/>
          <w:sz w:val="32"/>
          <w:szCs w:val="32"/>
        </w:rPr>
        <w:t>附件1</w:t>
      </w:r>
      <w:r>
        <w:rPr>
          <w:rFonts w:hint="eastAsia" w:ascii="方正小标宋简体" w:hAnsi="宋体" w:eastAsia="方正小标宋简体" w:cs="宋体"/>
          <w:sz w:val="32"/>
          <w:szCs w:val="32"/>
          <w:lang w:eastAsia="zh-CN"/>
        </w:rPr>
        <w:t>：</w:t>
      </w:r>
    </w:p>
    <w:tbl>
      <w:tblPr>
        <w:tblStyle w:val="11"/>
        <w:tblW w:w="6169" w:type="pct"/>
        <w:tblInd w:w="-936" w:type="dxa"/>
        <w:tblLayout w:type="fixed"/>
        <w:tblCellMar>
          <w:top w:w="0" w:type="dxa"/>
          <w:left w:w="108" w:type="dxa"/>
          <w:bottom w:w="0" w:type="dxa"/>
          <w:right w:w="108" w:type="dxa"/>
        </w:tblCellMar>
      </w:tblPr>
      <w:tblGrid>
        <w:gridCol w:w="660"/>
        <w:gridCol w:w="1635"/>
        <w:gridCol w:w="1755"/>
        <w:gridCol w:w="1935"/>
        <w:gridCol w:w="615"/>
        <w:gridCol w:w="690"/>
        <w:gridCol w:w="975"/>
        <w:gridCol w:w="1110"/>
        <w:gridCol w:w="1140"/>
      </w:tblGrid>
      <w:tr>
        <w:tblPrEx>
          <w:tblCellMar>
            <w:top w:w="0" w:type="dxa"/>
            <w:left w:w="108" w:type="dxa"/>
            <w:bottom w:w="0" w:type="dxa"/>
            <w:right w:w="108" w:type="dxa"/>
          </w:tblCellMar>
        </w:tblPrEx>
        <w:trPr>
          <w:trHeight w:val="718" w:hRule="atLeast"/>
        </w:trPr>
        <w:tc>
          <w:tcPr>
            <w:tcW w:w="5000" w:type="pct"/>
            <w:gridSpan w:val="9"/>
            <w:tcBorders>
              <w:top w:val="single" w:color="auto" w:sz="4" w:space="0"/>
              <w:left w:val="single" w:color="auto" w:sz="4" w:space="0"/>
              <w:bottom w:val="single" w:color="auto" w:sz="4" w:space="0"/>
              <w:right w:val="single" w:color="000000" w:sz="4" w:space="0"/>
            </w:tcBorders>
            <w:shd w:val="clear" w:color="000000" w:fill="FFFFFF"/>
            <w:vAlign w:val="center"/>
          </w:tcPr>
          <w:p>
            <w:pPr>
              <w:widowControl/>
              <w:spacing w:line="0" w:lineRule="atLeast"/>
              <w:jc w:val="center"/>
              <w:rPr>
                <w:rFonts w:ascii="黑体" w:hAnsi="黑体" w:eastAsia="黑体" w:cs="宋体"/>
                <w:kern w:val="0"/>
                <w:sz w:val="36"/>
                <w:szCs w:val="36"/>
              </w:rPr>
            </w:pPr>
            <w:r>
              <w:rPr>
                <w:rFonts w:hint="eastAsia" w:ascii="黑体" w:hAnsi="黑体" w:eastAsia="黑体" w:cs="宋体"/>
                <w:kern w:val="0"/>
                <w:sz w:val="44"/>
                <w:szCs w:val="44"/>
              </w:rPr>
              <w:t xml:space="preserve"> 2024年度消防器材框架协议采购报价明细</w:t>
            </w:r>
            <w:r>
              <w:rPr>
                <w:rFonts w:hint="eastAsia" w:ascii="黑体" w:hAnsi="黑体" w:eastAsia="黑体" w:cs="宋体"/>
                <w:kern w:val="0"/>
                <w:sz w:val="36"/>
                <w:szCs w:val="36"/>
              </w:rPr>
              <w:t xml:space="preserve">                    </w:t>
            </w:r>
            <w:r>
              <w:rPr>
                <w:rFonts w:hint="eastAsia" w:ascii="黑体" w:hAnsi="黑体" w:eastAsia="黑体" w:cs="宋体"/>
                <w:kern w:val="0"/>
                <w:sz w:val="24"/>
                <w:szCs w:val="24"/>
              </w:rPr>
              <w:t xml:space="preserve">   </w:t>
            </w:r>
            <w:r>
              <w:rPr>
                <w:rFonts w:hint="eastAsia" w:ascii="黑体" w:hAnsi="黑体" w:eastAsia="黑体" w:cs="宋体"/>
                <w:kern w:val="0"/>
                <w:sz w:val="36"/>
                <w:szCs w:val="36"/>
              </w:rPr>
              <w:t xml:space="preserve">     </w:t>
            </w:r>
          </w:p>
        </w:tc>
      </w:tr>
      <w:tr>
        <w:tblPrEx>
          <w:tblCellMar>
            <w:top w:w="0" w:type="dxa"/>
            <w:left w:w="108" w:type="dxa"/>
            <w:bottom w:w="0" w:type="dxa"/>
            <w:right w:w="108" w:type="dxa"/>
          </w:tblCellMar>
        </w:tblPrEx>
        <w:trPr>
          <w:trHeight w:val="544" w:hRule="atLeast"/>
        </w:trPr>
        <w:tc>
          <w:tcPr>
            <w:tcW w:w="5000" w:type="pct"/>
            <w:gridSpan w:val="9"/>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22"/>
                <w:szCs w:val="22"/>
              </w:rPr>
            </w:pPr>
            <w:r>
              <w:rPr>
                <w:rFonts w:hint="eastAsia" w:ascii="宋体" w:hAnsi="宋体" w:cs="宋体"/>
                <w:kern w:val="0"/>
                <w:sz w:val="22"/>
                <w:szCs w:val="22"/>
              </w:rPr>
              <w:t>报价货币：人民币(元)</w:t>
            </w:r>
          </w:p>
        </w:tc>
      </w:tr>
      <w:tr>
        <w:tblPrEx>
          <w:tblCellMar>
            <w:top w:w="0" w:type="dxa"/>
            <w:left w:w="108" w:type="dxa"/>
            <w:bottom w:w="0" w:type="dxa"/>
            <w:right w:w="108" w:type="dxa"/>
          </w:tblCellMar>
        </w:tblPrEx>
        <w:trPr>
          <w:trHeight w:val="634"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序号</w:t>
            </w:r>
          </w:p>
        </w:tc>
        <w:tc>
          <w:tcPr>
            <w:tcW w:w="777"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标的名称</w:t>
            </w:r>
          </w:p>
        </w:tc>
        <w:tc>
          <w:tcPr>
            <w:tcW w:w="834"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规格型号</w:t>
            </w:r>
          </w:p>
        </w:tc>
        <w:tc>
          <w:tcPr>
            <w:tcW w:w="920"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rPr>
              <w:t>物料描述</w:t>
            </w:r>
          </w:p>
        </w:tc>
        <w:tc>
          <w:tcPr>
            <w:tcW w:w="292"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单位</w:t>
            </w:r>
          </w:p>
        </w:tc>
        <w:tc>
          <w:tcPr>
            <w:tcW w:w="328"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年预    估用量</w:t>
            </w:r>
          </w:p>
        </w:tc>
        <w:tc>
          <w:tcPr>
            <w:tcW w:w="463"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 xml:space="preserve"> 单价   （含税）</w:t>
            </w:r>
          </w:p>
        </w:tc>
        <w:tc>
          <w:tcPr>
            <w:tcW w:w="527" w:type="pct"/>
            <w:tcBorders>
              <w:top w:val="nil"/>
              <w:left w:val="nil"/>
              <w:bottom w:val="single" w:color="auto" w:sz="4" w:space="0"/>
              <w:right w:val="single" w:color="auto" w:sz="4" w:space="0"/>
            </w:tcBorders>
            <w:shd w:val="clear" w:color="000000" w:fill="FFFFFF"/>
            <w:vAlign w:val="center"/>
          </w:tcPr>
          <w:p>
            <w:pPr>
              <w:widowControl/>
              <w:spacing w:line="0" w:lineRule="atLeast"/>
              <w:jc w:val="center"/>
              <w:rPr>
                <w:rFonts w:ascii="宋体" w:hAnsi="宋体" w:cs="宋体"/>
                <w:kern w:val="0"/>
                <w:sz w:val="20"/>
              </w:rPr>
            </w:pPr>
            <w:r>
              <w:rPr>
                <w:rFonts w:hint="eastAsia" w:ascii="宋体" w:hAnsi="宋体" w:cs="宋体"/>
                <w:kern w:val="0"/>
                <w:sz w:val="20"/>
              </w:rPr>
              <w:t xml:space="preserve">总价 </w:t>
            </w:r>
            <w:r>
              <w:rPr>
                <w:rFonts w:hint="eastAsia" w:ascii="宋体" w:hAnsi="宋体" w:cs="宋体"/>
                <w:kern w:val="0"/>
                <w:sz w:val="20"/>
              </w:rPr>
              <w:br w:type="textWrapping"/>
            </w:r>
            <w:r>
              <w:rPr>
                <w:rFonts w:hint="eastAsia" w:ascii="宋体" w:hAnsi="宋体" w:cs="宋体"/>
                <w:kern w:val="0"/>
                <w:sz w:val="20"/>
              </w:rPr>
              <w:t>（含税）</w:t>
            </w:r>
          </w:p>
        </w:tc>
        <w:tc>
          <w:tcPr>
            <w:tcW w:w="542" w:type="pct"/>
            <w:tcBorders>
              <w:top w:val="nil"/>
              <w:left w:val="nil"/>
              <w:bottom w:val="single" w:color="auto" w:sz="4" w:space="0"/>
              <w:right w:val="single" w:color="auto" w:sz="4" w:space="0"/>
            </w:tcBorders>
            <w:shd w:val="clear" w:color="000000" w:fill="FFFFFF"/>
            <w:vAlign w:val="center"/>
          </w:tcPr>
          <w:p>
            <w:pPr>
              <w:widowControl/>
              <w:spacing w:line="0" w:lineRule="atLeast"/>
              <w:jc w:val="left"/>
              <w:rPr>
                <w:rFonts w:ascii="宋体" w:hAnsi="宋体" w:cs="宋体"/>
                <w:kern w:val="0"/>
                <w:sz w:val="20"/>
              </w:rPr>
            </w:pPr>
            <w:r>
              <w:rPr>
                <w:rFonts w:hint="eastAsia" w:ascii="宋体" w:hAnsi="宋体" w:cs="宋体"/>
                <w:kern w:val="0"/>
                <w:sz w:val="20"/>
                <w:lang w:val="en-US" w:eastAsia="zh-CN"/>
              </w:rPr>
              <w:t>要求</w:t>
            </w:r>
            <w:r>
              <w:rPr>
                <w:rFonts w:hint="eastAsia" w:ascii="宋体" w:hAnsi="宋体" w:cs="宋体"/>
                <w:kern w:val="0"/>
                <w:sz w:val="20"/>
              </w:rPr>
              <w:t>厂家/品牌</w:t>
            </w:r>
          </w:p>
        </w:tc>
      </w:tr>
      <w:tr>
        <w:tblPrEx>
          <w:tblCellMar>
            <w:top w:w="0" w:type="dxa"/>
            <w:left w:w="108" w:type="dxa"/>
            <w:bottom w:w="0" w:type="dxa"/>
            <w:right w:w="108" w:type="dxa"/>
          </w:tblCellMar>
        </w:tblPrEx>
        <w:trPr>
          <w:trHeight w:val="436"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泡沫液</w:t>
            </w:r>
          </w:p>
        </w:tc>
        <w:tc>
          <w:tcPr>
            <w:tcW w:w="834" w:type="pct"/>
            <w:tcBorders>
              <w:top w:val="nil"/>
              <w:left w:val="nil"/>
              <w:bottom w:val="single" w:color="auto" w:sz="4" w:space="0"/>
              <w:right w:val="single" w:color="auto" w:sz="4" w:space="0"/>
            </w:tcBorders>
            <w:shd w:val="clear" w:color="000000" w:fill="FFFFFF"/>
            <w:noWrap/>
            <w:vAlign w:val="center"/>
          </w:tcPr>
          <w:p>
            <w:pPr>
              <w:spacing w:line="0" w:lineRule="atLeast"/>
              <w:rPr>
                <w:rFonts w:ascii="宋体" w:hAnsi="宋体" w:cs="宋体"/>
                <w:sz w:val="20"/>
              </w:rPr>
            </w:pPr>
            <w:r>
              <w:rPr>
                <w:rFonts w:hint="eastAsia"/>
                <w:sz w:val="20"/>
              </w:rPr>
              <w:t>江亚蓝图</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抗溶性水成膜药剂AFFF/AR 6%（2年期）</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吨</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20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江亚蓝图</w:t>
            </w:r>
            <w:r>
              <w:rPr>
                <w:sz w:val="20"/>
              </w:rPr>
              <w:t>/</w:t>
            </w:r>
            <w:r>
              <w:rPr>
                <w:rFonts w:hint="eastAsia"/>
                <w:sz w:val="20"/>
              </w:rPr>
              <w:t>泰州三江</w:t>
            </w:r>
            <w:r>
              <w:rPr>
                <w:sz w:val="20"/>
              </w:rPr>
              <w:t>/</w:t>
            </w:r>
            <w:r>
              <w:rPr>
                <w:rFonts w:hint="eastAsia"/>
                <w:sz w:val="20"/>
              </w:rPr>
              <w:t>洋龙消防</w:t>
            </w:r>
          </w:p>
        </w:tc>
      </w:tr>
      <w:tr>
        <w:tblPrEx>
          <w:tblCellMar>
            <w:top w:w="0" w:type="dxa"/>
            <w:left w:w="108" w:type="dxa"/>
            <w:bottom w:w="0" w:type="dxa"/>
            <w:right w:w="108" w:type="dxa"/>
          </w:tblCellMar>
        </w:tblPrEx>
        <w:trPr>
          <w:trHeight w:val="436"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2</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消防水带</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10-65-20</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有衬里10-65-20涤纶长丝聚氨酯（含捆扎好的卡口接扣）</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卷</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30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泰州三江</w:t>
            </w:r>
            <w:r>
              <w:rPr>
                <w:sz w:val="20"/>
              </w:rPr>
              <w:t>/</w:t>
            </w:r>
            <w:r>
              <w:rPr>
                <w:rFonts w:hint="eastAsia"/>
                <w:sz w:val="20"/>
              </w:rPr>
              <w:t>南京国泰</w:t>
            </w:r>
            <w:r>
              <w:rPr>
                <w:sz w:val="20"/>
              </w:rPr>
              <w:t>/</w:t>
            </w:r>
            <w:r>
              <w:rPr>
                <w:rFonts w:hint="eastAsia"/>
                <w:sz w:val="20"/>
              </w:rPr>
              <w:t>扬消</w:t>
            </w:r>
          </w:p>
        </w:tc>
      </w:tr>
      <w:tr>
        <w:tblPrEx>
          <w:tblCellMar>
            <w:top w:w="0" w:type="dxa"/>
            <w:left w:w="108" w:type="dxa"/>
            <w:bottom w:w="0" w:type="dxa"/>
            <w:right w:w="108" w:type="dxa"/>
          </w:tblCellMar>
        </w:tblPrEx>
        <w:trPr>
          <w:trHeight w:val="436"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3</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消防水带</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16-65-20</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有衬里16-65-20涤纶长丝聚氨酯（含捆扎好的快速接口）</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卷</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30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泰州三江</w:t>
            </w:r>
            <w:r>
              <w:rPr>
                <w:sz w:val="20"/>
              </w:rPr>
              <w:t>/</w:t>
            </w:r>
            <w:r>
              <w:rPr>
                <w:rFonts w:hint="eastAsia"/>
                <w:sz w:val="20"/>
              </w:rPr>
              <w:t>南京国泰</w:t>
            </w:r>
            <w:r>
              <w:rPr>
                <w:sz w:val="20"/>
              </w:rPr>
              <w:t>/</w:t>
            </w:r>
            <w:r>
              <w:rPr>
                <w:rFonts w:hint="eastAsia"/>
                <w:sz w:val="20"/>
              </w:rPr>
              <w:t>扬消</w:t>
            </w:r>
          </w:p>
        </w:tc>
      </w:tr>
      <w:tr>
        <w:tblPrEx>
          <w:tblCellMar>
            <w:top w:w="0" w:type="dxa"/>
            <w:left w:w="108" w:type="dxa"/>
            <w:bottom w:w="0" w:type="dxa"/>
            <w:right w:w="108" w:type="dxa"/>
          </w:tblCellMar>
        </w:tblPrEx>
        <w:trPr>
          <w:trHeight w:val="237"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4</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室外消防水带箱</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1000×700×240mm</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轿顶式</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5</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展拓</w:t>
            </w:r>
            <w:r>
              <w:rPr>
                <w:sz w:val="20"/>
              </w:rPr>
              <w:t>/</w:t>
            </w:r>
            <w:r>
              <w:rPr>
                <w:rFonts w:hint="eastAsia"/>
                <w:sz w:val="20"/>
              </w:rPr>
              <w:t>南京强劲</w:t>
            </w:r>
            <w:r>
              <w:rPr>
                <w:sz w:val="20"/>
              </w:rPr>
              <w:t>/</w:t>
            </w:r>
            <w:r>
              <w:rPr>
                <w:rFonts w:hint="eastAsia"/>
                <w:sz w:val="20"/>
              </w:rPr>
              <w:t>南京雨神</w:t>
            </w:r>
          </w:p>
        </w:tc>
      </w:tr>
      <w:tr>
        <w:tblPrEx>
          <w:tblCellMar>
            <w:top w:w="0" w:type="dxa"/>
            <w:left w:w="108" w:type="dxa"/>
            <w:bottom w:w="0" w:type="dxa"/>
            <w:right w:w="108" w:type="dxa"/>
          </w:tblCellMar>
        </w:tblPrEx>
        <w:trPr>
          <w:trHeight w:val="237"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5</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玻璃钢水龙带箱</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BST-005</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65*56*20cm</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5</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r>
      <w:tr>
        <w:tblPrEx>
          <w:tblCellMar>
            <w:top w:w="0" w:type="dxa"/>
            <w:left w:w="108" w:type="dxa"/>
            <w:bottom w:w="0" w:type="dxa"/>
            <w:right w:w="108" w:type="dxa"/>
          </w:tblCellMar>
        </w:tblPrEx>
        <w:trPr>
          <w:trHeight w:val="237"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6</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灭火器箱</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XMDF4-4</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材质：不锈钢</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展拓</w:t>
            </w:r>
            <w:r>
              <w:rPr>
                <w:sz w:val="20"/>
              </w:rPr>
              <w:t>/</w:t>
            </w:r>
            <w:r>
              <w:rPr>
                <w:rFonts w:hint="eastAsia"/>
                <w:sz w:val="20"/>
              </w:rPr>
              <w:t>南京强劲</w:t>
            </w:r>
            <w:r>
              <w:rPr>
                <w:sz w:val="20"/>
              </w:rPr>
              <w:t>/</w:t>
            </w:r>
            <w:r>
              <w:rPr>
                <w:rFonts w:hint="eastAsia"/>
                <w:sz w:val="20"/>
              </w:rPr>
              <w:t>南京雨神</w:t>
            </w:r>
          </w:p>
        </w:tc>
      </w:tr>
      <w:tr>
        <w:tblPrEx>
          <w:tblCellMar>
            <w:top w:w="0" w:type="dxa"/>
            <w:left w:w="108" w:type="dxa"/>
            <w:bottom w:w="0" w:type="dxa"/>
            <w:right w:w="108" w:type="dxa"/>
          </w:tblCellMar>
        </w:tblPrEx>
        <w:trPr>
          <w:trHeight w:val="237"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7</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灭火器箱</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sz w:val="20"/>
              </w:rPr>
            </w:pPr>
            <w:r>
              <w:rPr>
                <w:rFonts w:hint="eastAsia"/>
                <w:sz w:val="20"/>
              </w:rPr>
              <w:t>370MM*190MM*590MM</w:t>
            </w:r>
          </w:p>
          <w:p>
            <w:pPr>
              <w:pStyle w:val="2"/>
              <w:spacing w:after="0" w:line="0" w:lineRule="atLeast"/>
            </w:pPr>
            <w:r>
              <w:rPr>
                <w:rFonts w:hint="eastAsia"/>
                <w:sz w:val="20"/>
              </w:rPr>
              <w:t>材质：不锈钢</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5</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展拓</w:t>
            </w:r>
            <w:r>
              <w:rPr>
                <w:sz w:val="20"/>
              </w:rPr>
              <w:t>/</w:t>
            </w:r>
            <w:r>
              <w:rPr>
                <w:rFonts w:hint="eastAsia"/>
                <w:sz w:val="20"/>
              </w:rPr>
              <w:t>南京强劲</w:t>
            </w:r>
            <w:r>
              <w:rPr>
                <w:sz w:val="20"/>
              </w:rPr>
              <w:t>/</w:t>
            </w:r>
            <w:r>
              <w:rPr>
                <w:rFonts w:hint="eastAsia"/>
                <w:sz w:val="20"/>
              </w:rPr>
              <w:t>南京雨神</w:t>
            </w:r>
          </w:p>
        </w:tc>
      </w:tr>
      <w:tr>
        <w:tblPrEx>
          <w:tblCellMar>
            <w:top w:w="0" w:type="dxa"/>
            <w:left w:w="108" w:type="dxa"/>
            <w:bottom w:w="0" w:type="dxa"/>
            <w:right w:w="108" w:type="dxa"/>
          </w:tblCellMar>
        </w:tblPrEx>
        <w:trPr>
          <w:trHeight w:val="237"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8</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干粉灭火器箱</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8*2灭火器箱</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sz w:val="20"/>
              </w:rPr>
            </w:pPr>
            <w:r>
              <w:rPr>
                <w:rFonts w:hint="eastAsia"/>
                <w:sz w:val="20"/>
              </w:rPr>
              <w:t>可装</w:t>
            </w:r>
            <w:r>
              <w:rPr>
                <w:rFonts w:ascii="Calibri" w:hAnsi="Calibri"/>
                <w:sz w:val="20"/>
              </w:rPr>
              <w:t>2</w:t>
            </w:r>
            <w:r>
              <w:rPr>
                <w:rFonts w:hint="eastAsia"/>
                <w:sz w:val="20"/>
              </w:rPr>
              <w:t>只</w:t>
            </w:r>
            <w:r>
              <w:rPr>
                <w:rFonts w:ascii="Calibri" w:hAnsi="Calibri"/>
                <w:sz w:val="20"/>
              </w:rPr>
              <w:t>8</w:t>
            </w:r>
            <w:r>
              <w:rPr>
                <w:rFonts w:hint="eastAsia"/>
                <w:sz w:val="20"/>
              </w:rPr>
              <w:t>公斤灭火器、</w:t>
            </w:r>
            <w:r>
              <w:rPr>
                <w:rFonts w:ascii="Calibri" w:hAnsi="Calibri"/>
                <w:sz w:val="20"/>
              </w:rPr>
              <w:t>3C</w:t>
            </w:r>
            <w:r>
              <w:rPr>
                <w:rFonts w:hint="eastAsia"/>
                <w:sz w:val="20"/>
              </w:rPr>
              <w:t>认证</w:t>
            </w:r>
          </w:p>
          <w:p>
            <w:pPr>
              <w:pStyle w:val="2"/>
              <w:spacing w:after="0" w:line="0" w:lineRule="atLeast"/>
            </w:pPr>
            <w:r>
              <w:rPr>
                <w:rFonts w:hint="eastAsia"/>
                <w:sz w:val="20"/>
              </w:rPr>
              <w:t>材质：不锈钢</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5</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展拓</w:t>
            </w:r>
            <w:r>
              <w:rPr>
                <w:sz w:val="20"/>
              </w:rPr>
              <w:t>/</w:t>
            </w:r>
            <w:r>
              <w:rPr>
                <w:rFonts w:hint="eastAsia"/>
                <w:sz w:val="20"/>
              </w:rPr>
              <w:t>南京强劲</w:t>
            </w:r>
            <w:r>
              <w:rPr>
                <w:sz w:val="20"/>
              </w:rPr>
              <w:t>/</w:t>
            </w:r>
            <w:r>
              <w:rPr>
                <w:rFonts w:hint="eastAsia"/>
                <w:sz w:val="20"/>
              </w:rPr>
              <w:t>南京雨神</w:t>
            </w:r>
          </w:p>
        </w:tc>
      </w:tr>
      <w:tr>
        <w:tblPrEx>
          <w:tblCellMar>
            <w:top w:w="0" w:type="dxa"/>
            <w:left w:w="108" w:type="dxa"/>
            <w:bottom w:w="0" w:type="dxa"/>
            <w:right w:w="108" w:type="dxa"/>
          </w:tblCellMar>
        </w:tblPrEx>
        <w:trPr>
          <w:trHeight w:val="237"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9</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室内消火栓箱</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钢</w:t>
            </w:r>
            <w:r>
              <w:rPr>
                <w:rFonts w:ascii="Calibri" w:hAnsi="Calibri"/>
                <w:sz w:val="20"/>
              </w:rPr>
              <w:t>-</w:t>
            </w:r>
            <w:r>
              <w:rPr>
                <w:rFonts w:hint="eastAsia"/>
                <w:sz w:val="20"/>
              </w:rPr>
              <w:t>铝合金</w:t>
            </w:r>
            <w:r>
              <w:rPr>
                <w:rFonts w:ascii="Calibri" w:hAnsi="Calibri"/>
                <w:sz w:val="20"/>
              </w:rPr>
              <w:t xml:space="preserve"> 800*650*240</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5</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展拓</w:t>
            </w:r>
            <w:r>
              <w:rPr>
                <w:sz w:val="20"/>
              </w:rPr>
              <w:t>/</w:t>
            </w:r>
            <w:r>
              <w:rPr>
                <w:rFonts w:hint="eastAsia"/>
                <w:sz w:val="20"/>
              </w:rPr>
              <w:t>南京强劲</w:t>
            </w:r>
            <w:r>
              <w:rPr>
                <w:sz w:val="20"/>
              </w:rPr>
              <w:t>/</w:t>
            </w:r>
            <w:r>
              <w:rPr>
                <w:rFonts w:hint="eastAsia"/>
                <w:sz w:val="20"/>
              </w:rPr>
              <w:t>南京雨神</w:t>
            </w:r>
          </w:p>
        </w:tc>
      </w:tr>
      <w:tr>
        <w:tblPrEx>
          <w:tblCellMar>
            <w:top w:w="0" w:type="dxa"/>
            <w:left w:w="108" w:type="dxa"/>
            <w:bottom w:w="0" w:type="dxa"/>
            <w:right w:w="108" w:type="dxa"/>
          </w:tblCellMar>
        </w:tblPrEx>
        <w:trPr>
          <w:trHeight w:val="237"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10</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室内消火栓箱</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1000×700×240mm</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钢-铝合金</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5</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展拓</w:t>
            </w:r>
            <w:r>
              <w:rPr>
                <w:sz w:val="20"/>
              </w:rPr>
              <w:t>/</w:t>
            </w:r>
            <w:r>
              <w:rPr>
                <w:rFonts w:hint="eastAsia"/>
                <w:sz w:val="20"/>
              </w:rPr>
              <w:t>南京强劲</w:t>
            </w:r>
            <w:r>
              <w:rPr>
                <w:sz w:val="20"/>
              </w:rPr>
              <w:t>/</w:t>
            </w:r>
            <w:r>
              <w:rPr>
                <w:rFonts w:hint="eastAsia"/>
                <w:sz w:val="20"/>
              </w:rPr>
              <w:t>南京雨神</w:t>
            </w:r>
          </w:p>
        </w:tc>
      </w:tr>
      <w:tr>
        <w:tblPrEx>
          <w:tblCellMar>
            <w:top w:w="0" w:type="dxa"/>
            <w:left w:w="108" w:type="dxa"/>
            <w:bottom w:w="0" w:type="dxa"/>
            <w:right w:w="108" w:type="dxa"/>
          </w:tblCellMar>
        </w:tblPrEx>
        <w:trPr>
          <w:trHeight w:val="237"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11</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室外消防水栓</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SS100/65-1.6</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安装方式：地面上</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5</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淮海</w:t>
            </w:r>
            <w:r>
              <w:rPr>
                <w:sz w:val="20"/>
              </w:rPr>
              <w:t>/</w:t>
            </w:r>
            <w:r>
              <w:rPr>
                <w:rFonts w:hint="eastAsia"/>
                <w:sz w:val="20"/>
              </w:rPr>
              <w:t>南消/东消</w:t>
            </w:r>
          </w:p>
        </w:tc>
      </w:tr>
      <w:tr>
        <w:tblPrEx>
          <w:tblCellMar>
            <w:top w:w="0" w:type="dxa"/>
            <w:left w:w="108" w:type="dxa"/>
            <w:bottom w:w="0" w:type="dxa"/>
            <w:right w:w="108" w:type="dxa"/>
          </w:tblCellMar>
        </w:tblPrEx>
        <w:trPr>
          <w:trHeight w:val="237"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12</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室内消火栓</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SNW65</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东消SNW65 减压稳压</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5</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淮海</w:t>
            </w:r>
            <w:r>
              <w:rPr>
                <w:sz w:val="20"/>
              </w:rPr>
              <w:t>/</w:t>
            </w:r>
            <w:r>
              <w:rPr>
                <w:rFonts w:hint="eastAsia"/>
                <w:sz w:val="20"/>
              </w:rPr>
              <w:t>南消/东消</w:t>
            </w:r>
          </w:p>
        </w:tc>
      </w:tr>
      <w:tr>
        <w:tblPrEx>
          <w:tblCellMar>
            <w:top w:w="0" w:type="dxa"/>
            <w:left w:w="108" w:type="dxa"/>
            <w:bottom w:w="0" w:type="dxa"/>
            <w:right w:w="108" w:type="dxa"/>
          </w:tblCellMar>
        </w:tblPrEx>
        <w:trPr>
          <w:trHeight w:val="436"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13</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二氧化碳灭火器</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MT/3</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南京国泰</w:t>
            </w:r>
            <w:r>
              <w:rPr>
                <w:sz w:val="20"/>
              </w:rPr>
              <w:t>/</w:t>
            </w:r>
            <w:r>
              <w:rPr>
                <w:rFonts w:hint="eastAsia"/>
                <w:sz w:val="20"/>
              </w:rPr>
              <w:t>淮海消防</w:t>
            </w:r>
            <w:r>
              <w:rPr>
                <w:sz w:val="20"/>
              </w:rPr>
              <w:t>/</w:t>
            </w:r>
            <w:r>
              <w:rPr>
                <w:rFonts w:hint="eastAsia"/>
                <w:sz w:val="20"/>
              </w:rPr>
              <w:t>龙成消防</w:t>
            </w:r>
          </w:p>
        </w:tc>
      </w:tr>
      <w:tr>
        <w:tblPrEx>
          <w:tblCellMar>
            <w:top w:w="0" w:type="dxa"/>
            <w:left w:w="108" w:type="dxa"/>
            <w:bottom w:w="0" w:type="dxa"/>
            <w:right w:w="108" w:type="dxa"/>
          </w:tblCellMar>
        </w:tblPrEx>
        <w:trPr>
          <w:trHeight w:val="436"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14</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泡沫灭火器</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MPZ/3L  3kg</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南京国泰</w:t>
            </w:r>
            <w:r>
              <w:rPr>
                <w:sz w:val="20"/>
              </w:rPr>
              <w:t>/</w:t>
            </w:r>
            <w:r>
              <w:rPr>
                <w:rFonts w:hint="eastAsia"/>
                <w:sz w:val="20"/>
              </w:rPr>
              <w:t>淮海消防</w:t>
            </w:r>
            <w:r>
              <w:rPr>
                <w:sz w:val="20"/>
              </w:rPr>
              <w:t>/</w:t>
            </w:r>
            <w:r>
              <w:rPr>
                <w:rFonts w:hint="eastAsia"/>
                <w:sz w:val="20"/>
              </w:rPr>
              <w:t>龙成消防</w:t>
            </w:r>
          </w:p>
        </w:tc>
      </w:tr>
      <w:tr>
        <w:tblPrEx>
          <w:tblCellMar>
            <w:top w:w="0" w:type="dxa"/>
            <w:left w:w="108" w:type="dxa"/>
            <w:bottom w:w="0" w:type="dxa"/>
            <w:right w:w="108" w:type="dxa"/>
          </w:tblCellMar>
        </w:tblPrEx>
        <w:trPr>
          <w:trHeight w:val="562"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15</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手提式干粉灭火器</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xml:space="preserve">MFZ/ABC1 </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南京国泰</w:t>
            </w:r>
            <w:r>
              <w:rPr>
                <w:sz w:val="20"/>
              </w:rPr>
              <w:t>/</w:t>
            </w:r>
            <w:r>
              <w:rPr>
                <w:rFonts w:hint="eastAsia"/>
                <w:sz w:val="20"/>
              </w:rPr>
              <w:t>淮海消防</w:t>
            </w:r>
            <w:r>
              <w:rPr>
                <w:sz w:val="20"/>
              </w:rPr>
              <w:t>/</w:t>
            </w:r>
            <w:r>
              <w:rPr>
                <w:rFonts w:hint="eastAsia"/>
                <w:sz w:val="20"/>
              </w:rPr>
              <w:t>龙成消防</w:t>
            </w:r>
          </w:p>
        </w:tc>
      </w:tr>
      <w:tr>
        <w:tblPrEx>
          <w:tblCellMar>
            <w:top w:w="0" w:type="dxa"/>
            <w:left w:w="108" w:type="dxa"/>
            <w:bottom w:w="0" w:type="dxa"/>
            <w:right w:w="108" w:type="dxa"/>
          </w:tblCellMar>
        </w:tblPrEx>
        <w:trPr>
          <w:trHeight w:val="450"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16</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手提式干粉灭火器</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MFZ/ABC4型</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60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南京国泰</w:t>
            </w:r>
            <w:r>
              <w:rPr>
                <w:sz w:val="20"/>
              </w:rPr>
              <w:t>/</w:t>
            </w:r>
            <w:r>
              <w:rPr>
                <w:rFonts w:hint="eastAsia"/>
                <w:sz w:val="20"/>
              </w:rPr>
              <w:t>淮海消防</w:t>
            </w:r>
            <w:r>
              <w:rPr>
                <w:sz w:val="20"/>
              </w:rPr>
              <w:t>/</w:t>
            </w:r>
            <w:r>
              <w:rPr>
                <w:rFonts w:hint="eastAsia"/>
                <w:sz w:val="20"/>
              </w:rPr>
              <w:t>龙成消防</w:t>
            </w:r>
          </w:p>
        </w:tc>
      </w:tr>
      <w:tr>
        <w:tblPrEx>
          <w:tblCellMar>
            <w:top w:w="0" w:type="dxa"/>
            <w:left w:w="108" w:type="dxa"/>
            <w:bottom w:w="0" w:type="dxa"/>
            <w:right w:w="108" w:type="dxa"/>
          </w:tblCellMar>
        </w:tblPrEx>
        <w:trPr>
          <w:trHeight w:val="450"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17</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手提式干粉灭火器</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MFZ/ABC8</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干粉型（磷酸铵盐）、 充装量8KG、3C认证</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南京国泰</w:t>
            </w:r>
            <w:r>
              <w:rPr>
                <w:sz w:val="20"/>
              </w:rPr>
              <w:t>/</w:t>
            </w:r>
            <w:r>
              <w:rPr>
                <w:rFonts w:hint="eastAsia"/>
                <w:sz w:val="20"/>
              </w:rPr>
              <w:t>淮海消防</w:t>
            </w:r>
            <w:r>
              <w:rPr>
                <w:sz w:val="20"/>
              </w:rPr>
              <w:t>/</w:t>
            </w:r>
            <w:r>
              <w:rPr>
                <w:rFonts w:hint="eastAsia"/>
                <w:sz w:val="20"/>
              </w:rPr>
              <w:t>龙成消防</w:t>
            </w:r>
          </w:p>
        </w:tc>
      </w:tr>
      <w:tr>
        <w:tblPrEx>
          <w:tblCellMar>
            <w:top w:w="0" w:type="dxa"/>
            <w:left w:w="108" w:type="dxa"/>
            <w:bottom w:w="0" w:type="dxa"/>
            <w:right w:w="108" w:type="dxa"/>
          </w:tblCellMar>
        </w:tblPrEx>
        <w:trPr>
          <w:trHeight w:val="450"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18</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手推式干粉灭火器</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MFTZL35型</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南京国泰</w:t>
            </w:r>
            <w:r>
              <w:rPr>
                <w:sz w:val="20"/>
              </w:rPr>
              <w:t>/</w:t>
            </w:r>
            <w:r>
              <w:rPr>
                <w:rFonts w:hint="eastAsia"/>
                <w:sz w:val="20"/>
              </w:rPr>
              <w:t>淮海消防</w:t>
            </w:r>
            <w:r>
              <w:rPr>
                <w:sz w:val="20"/>
              </w:rPr>
              <w:t>/</w:t>
            </w:r>
            <w:r>
              <w:rPr>
                <w:rFonts w:hint="eastAsia"/>
                <w:sz w:val="20"/>
              </w:rPr>
              <w:t>龙成消防</w:t>
            </w:r>
          </w:p>
        </w:tc>
      </w:tr>
      <w:tr>
        <w:tblPrEx>
          <w:tblCellMar>
            <w:top w:w="0" w:type="dxa"/>
            <w:left w:w="108" w:type="dxa"/>
            <w:bottom w:w="0" w:type="dxa"/>
            <w:right w:w="108" w:type="dxa"/>
          </w:tblCellMar>
        </w:tblPrEx>
        <w:trPr>
          <w:trHeight w:val="450"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19</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推车式水基型灭火器</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MPTZ/45L</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南京国泰</w:t>
            </w:r>
            <w:r>
              <w:rPr>
                <w:sz w:val="20"/>
              </w:rPr>
              <w:t>/</w:t>
            </w:r>
            <w:r>
              <w:rPr>
                <w:rFonts w:hint="eastAsia"/>
                <w:sz w:val="20"/>
              </w:rPr>
              <w:t>淮海消防</w:t>
            </w:r>
            <w:r>
              <w:rPr>
                <w:sz w:val="20"/>
              </w:rPr>
              <w:t>/</w:t>
            </w:r>
            <w:r>
              <w:rPr>
                <w:rFonts w:hint="eastAsia"/>
                <w:sz w:val="20"/>
              </w:rPr>
              <w:t>龙成消防</w:t>
            </w:r>
          </w:p>
        </w:tc>
      </w:tr>
      <w:tr>
        <w:tblPrEx>
          <w:tblCellMar>
            <w:top w:w="0" w:type="dxa"/>
            <w:left w:w="108" w:type="dxa"/>
            <w:bottom w:w="0" w:type="dxa"/>
            <w:right w:w="108" w:type="dxa"/>
          </w:tblCellMar>
        </w:tblPrEx>
        <w:trPr>
          <w:trHeight w:val="450"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20</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推车式干粉灭火器</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MFTZ/ABC50</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干粉型（磷酸铵盐）、充装量</w:t>
            </w:r>
            <w:r>
              <w:rPr>
                <w:rFonts w:ascii="Calibri" w:hAnsi="Calibri"/>
                <w:sz w:val="20"/>
              </w:rPr>
              <w:t>50KG</w:t>
            </w:r>
            <w:r>
              <w:rPr>
                <w:rFonts w:hint="eastAsia"/>
                <w:sz w:val="20"/>
              </w:rPr>
              <w:t>、</w:t>
            </w:r>
            <w:r>
              <w:rPr>
                <w:rFonts w:ascii="Calibri" w:hAnsi="Calibri"/>
                <w:sz w:val="20"/>
              </w:rPr>
              <w:t>3C</w:t>
            </w:r>
            <w:r>
              <w:rPr>
                <w:rFonts w:hint="eastAsia"/>
                <w:sz w:val="20"/>
              </w:rPr>
              <w:t>认证</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南京国泰</w:t>
            </w:r>
            <w:r>
              <w:rPr>
                <w:sz w:val="20"/>
              </w:rPr>
              <w:t>/</w:t>
            </w:r>
            <w:r>
              <w:rPr>
                <w:rFonts w:hint="eastAsia"/>
                <w:sz w:val="20"/>
              </w:rPr>
              <w:t>淮海消防</w:t>
            </w:r>
            <w:r>
              <w:rPr>
                <w:sz w:val="20"/>
              </w:rPr>
              <w:t>/</w:t>
            </w:r>
            <w:r>
              <w:rPr>
                <w:rFonts w:hint="eastAsia"/>
                <w:sz w:val="20"/>
              </w:rPr>
              <w:t>龙成消防</w:t>
            </w:r>
          </w:p>
        </w:tc>
      </w:tr>
      <w:tr>
        <w:tblPrEx>
          <w:tblCellMar>
            <w:top w:w="0" w:type="dxa"/>
            <w:left w:w="108" w:type="dxa"/>
            <w:bottom w:w="0" w:type="dxa"/>
            <w:right w:w="108" w:type="dxa"/>
          </w:tblCellMar>
        </w:tblPrEx>
        <w:trPr>
          <w:trHeight w:val="237"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21</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悬挂式干粉灭火器</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4KG 执行标准：GA602-2013  灭火剂：ABC超细干粉灭火剂 有效期：5年 动作温度：68℃ 驱动气体：1.2Mpa</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xml:space="preserve">20 </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南京国泰</w:t>
            </w:r>
            <w:r>
              <w:rPr>
                <w:sz w:val="20"/>
              </w:rPr>
              <w:t>/</w:t>
            </w:r>
            <w:r>
              <w:rPr>
                <w:rFonts w:hint="eastAsia"/>
                <w:sz w:val="20"/>
              </w:rPr>
              <w:t>淮海消防</w:t>
            </w:r>
            <w:r>
              <w:rPr>
                <w:sz w:val="20"/>
              </w:rPr>
              <w:t>/</w:t>
            </w:r>
            <w:r>
              <w:rPr>
                <w:rFonts w:hint="eastAsia"/>
                <w:sz w:val="20"/>
              </w:rPr>
              <w:t>龙成消防</w:t>
            </w:r>
          </w:p>
        </w:tc>
      </w:tr>
      <w:tr>
        <w:tblPrEx>
          <w:tblCellMar>
            <w:top w:w="0" w:type="dxa"/>
            <w:left w:w="108" w:type="dxa"/>
            <w:bottom w:w="0" w:type="dxa"/>
            <w:right w:w="108" w:type="dxa"/>
          </w:tblCellMar>
        </w:tblPrEx>
        <w:trPr>
          <w:trHeight w:val="423"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22</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手提式二氧化碳灭火器</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灭火器5KG 喷射距离&gt;2M</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MT/5</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20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南京国泰</w:t>
            </w:r>
            <w:r>
              <w:rPr>
                <w:sz w:val="20"/>
              </w:rPr>
              <w:t>/</w:t>
            </w:r>
            <w:r>
              <w:rPr>
                <w:rFonts w:hint="eastAsia"/>
                <w:sz w:val="20"/>
              </w:rPr>
              <w:t>淮海消防</w:t>
            </w:r>
            <w:r>
              <w:rPr>
                <w:sz w:val="20"/>
              </w:rPr>
              <w:t>/</w:t>
            </w:r>
            <w:r>
              <w:rPr>
                <w:rFonts w:hint="eastAsia"/>
                <w:sz w:val="20"/>
              </w:rPr>
              <w:t>龙成消防</w:t>
            </w:r>
          </w:p>
        </w:tc>
      </w:tr>
      <w:tr>
        <w:tblPrEx>
          <w:tblCellMar>
            <w:top w:w="0" w:type="dxa"/>
            <w:left w:w="108" w:type="dxa"/>
            <w:bottom w:w="0" w:type="dxa"/>
            <w:right w:w="108" w:type="dxa"/>
          </w:tblCellMar>
        </w:tblPrEx>
        <w:trPr>
          <w:trHeight w:val="450"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23</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移动式泡沫装置</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PY4/200</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台</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2</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捷成</w:t>
            </w:r>
            <w:r>
              <w:rPr>
                <w:sz w:val="20"/>
              </w:rPr>
              <w:t>/</w:t>
            </w:r>
            <w:r>
              <w:rPr>
                <w:rFonts w:hint="eastAsia"/>
                <w:sz w:val="20"/>
              </w:rPr>
              <w:t>淮海</w:t>
            </w:r>
            <w:r>
              <w:rPr>
                <w:sz w:val="20"/>
              </w:rPr>
              <w:t>/</w:t>
            </w:r>
            <w:r>
              <w:rPr>
                <w:rFonts w:hint="eastAsia"/>
                <w:sz w:val="20"/>
              </w:rPr>
              <w:t>晟阳消防</w:t>
            </w:r>
          </w:p>
        </w:tc>
      </w:tr>
      <w:tr>
        <w:tblPrEx>
          <w:tblCellMar>
            <w:top w:w="0" w:type="dxa"/>
            <w:left w:w="108" w:type="dxa"/>
            <w:bottom w:w="0" w:type="dxa"/>
            <w:right w:w="108" w:type="dxa"/>
          </w:tblCellMar>
        </w:tblPrEx>
        <w:trPr>
          <w:trHeight w:val="237"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24</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抗乙醇泡沫（手提）灭火器</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9L</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5</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南京国泰</w:t>
            </w:r>
            <w:r>
              <w:rPr>
                <w:sz w:val="20"/>
              </w:rPr>
              <w:t>/</w:t>
            </w:r>
            <w:r>
              <w:rPr>
                <w:rFonts w:hint="eastAsia"/>
                <w:sz w:val="20"/>
              </w:rPr>
              <w:t>淮海消防</w:t>
            </w:r>
            <w:r>
              <w:rPr>
                <w:sz w:val="20"/>
              </w:rPr>
              <w:t>/</w:t>
            </w:r>
            <w:r>
              <w:rPr>
                <w:rFonts w:hint="eastAsia"/>
                <w:sz w:val="20"/>
              </w:rPr>
              <w:t>龙成消防</w:t>
            </w:r>
          </w:p>
        </w:tc>
      </w:tr>
      <w:tr>
        <w:tblPrEx>
          <w:tblCellMar>
            <w:top w:w="0" w:type="dxa"/>
            <w:left w:w="108" w:type="dxa"/>
            <w:bottom w:w="0" w:type="dxa"/>
            <w:right w:w="108" w:type="dxa"/>
          </w:tblCellMar>
        </w:tblPrEx>
        <w:trPr>
          <w:trHeight w:val="436"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25</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推车式轻水泡沫灭火器</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45L</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5</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南京国泰</w:t>
            </w:r>
            <w:r>
              <w:rPr>
                <w:sz w:val="20"/>
              </w:rPr>
              <w:t>/</w:t>
            </w:r>
            <w:r>
              <w:rPr>
                <w:rFonts w:hint="eastAsia"/>
                <w:sz w:val="20"/>
              </w:rPr>
              <w:t>淮海消防</w:t>
            </w:r>
            <w:r>
              <w:rPr>
                <w:sz w:val="20"/>
              </w:rPr>
              <w:t>/</w:t>
            </w:r>
            <w:r>
              <w:rPr>
                <w:rFonts w:hint="eastAsia"/>
                <w:sz w:val="20"/>
              </w:rPr>
              <w:t>龙成消防</w:t>
            </w:r>
          </w:p>
        </w:tc>
      </w:tr>
      <w:tr>
        <w:tblPrEx>
          <w:tblCellMar>
            <w:top w:w="0" w:type="dxa"/>
            <w:left w:w="108" w:type="dxa"/>
            <w:bottom w:w="0" w:type="dxa"/>
            <w:right w:w="108" w:type="dxa"/>
          </w:tblCellMar>
        </w:tblPrEx>
        <w:trPr>
          <w:trHeight w:val="237"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26</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泡沫管枪</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PQ8</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支</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30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兴化亚鑫</w:t>
            </w:r>
            <w:r>
              <w:rPr>
                <w:sz w:val="20"/>
              </w:rPr>
              <w:t>/</w:t>
            </w:r>
            <w:r>
              <w:rPr>
                <w:rFonts w:hint="eastAsia"/>
                <w:sz w:val="20"/>
              </w:rPr>
              <w:t>亚鑫牌</w:t>
            </w:r>
            <w:r>
              <w:rPr>
                <w:sz w:val="20"/>
              </w:rPr>
              <w:t>/</w:t>
            </w:r>
            <w:r>
              <w:rPr>
                <w:rFonts w:hint="eastAsia"/>
                <w:sz w:val="20"/>
              </w:rPr>
              <w:t>双牛</w:t>
            </w:r>
          </w:p>
        </w:tc>
      </w:tr>
      <w:tr>
        <w:tblPrEx>
          <w:tblCellMar>
            <w:top w:w="0" w:type="dxa"/>
            <w:left w:w="108" w:type="dxa"/>
            <w:bottom w:w="0" w:type="dxa"/>
            <w:right w:w="108" w:type="dxa"/>
          </w:tblCellMar>
        </w:tblPrEx>
        <w:trPr>
          <w:trHeight w:val="436"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27</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固定式消防炮</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PS50</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台</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3</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江苏强盾</w:t>
            </w:r>
            <w:r>
              <w:rPr>
                <w:sz w:val="20"/>
              </w:rPr>
              <w:t>/</w:t>
            </w:r>
            <w:r>
              <w:rPr>
                <w:rFonts w:hint="eastAsia"/>
                <w:sz w:val="20"/>
              </w:rPr>
              <w:t>强盾牌</w:t>
            </w:r>
            <w:r>
              <w:rPr>
                <w:sz w:val="20"/>
              </w:rPr>
              <w:t>/</w:t>
            </w:r>
            <w:r>
              <w:rPr>
                <w:rFonts w:hint="eastAsia"/>
                <w:sz w:val="20"/>
              </w:rPr>
              <w:t>晟阳消防</w:t>
            </w:r>
          </w:p>
        </w:tc>
      </w:tr>
      <w:tr>
        <w:tblPrEx>
          <w:tblCellMar>
            <w:top w:w="0" w:type="dxa"/>
            <w:left w:w="108" w:type="dxa"/>
            <w:bottom w:w="0" w:type="dxa"/>
            <w:right w:w="108" w:type="dxa"/>
          </w:tblCellMar>
        </w:tblPrEx>
        <w:trPr>
          <w:trHeight w:val="436"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28</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消防水枪</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QLD6.0/6.5I</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喷雾-直流开关两用</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支</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泰州三江</w:t>
            </w:r>
            <w:r>
              <w:rPr>
                <w:sz w:val="20"/>
              </w:rPr>
              <w:t>/</w:t>
            </w:r>
            <w:r>
              <w:rPr>
                <w:rFonts w:hint="eastAsia"/>
                <w:sz w:val="20"/>
              </w:rPr>
              <w:t>沱雨牌</w:t>
            </w:r>
            <w:r>
              <w:rPr>
                <w:sz w:val="20"/>
              </w:rPr>
              <w:t>/</w:t>
            </w:r>
            <w:r>
              <w:rPr>
                <w:rFonts w:hint="eastAsia"/>
                <w:sz w:val="20"/>
              </w:rPr>
              <w:t>双牛</w:t>
            </w:r>
          </w:p>
        </w:tc>
      </w:tr>
      <w:tr>
        <w:tblPrEx>
          <w:tblCellMar>
            <w:top w:w="0" w:type="dxa"/>
            <w:left w:w="108" w:type="dxa"/>
            <w:bottom w:w="0" w:type="dxa"/>
            <w:right w:w="108" w:type="dxa"/>
          </w:tblCellMar>
        </w:tblPrEx>
        <w:trPr>
          <w:trHeight w:val="237"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29</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消防枪头</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直流</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泰州三江</w:t>
            </w:r>
            <w:r>
              <w:rPr>
                <w:sz w:val="20"/>
              </w:rPr>
              <w:t>/</w:t>
            </w:r>
            <w:r>
              <w:rPr>
                <w:rFonts w:hint="eastAsia"/>
                <w:sz w:val="20"/>
              </w:rPr>
              <w:t>沱雨牌</w:t>
            </w:r>
            <w:r>
              <w:rPr>
                <w:sz w:val="20"/>
              </w:rPr>
              <w:t>/</w:t>
            </w:r>
            <w:r>
              <w:rPr>
                <w:rFonts w:hint="eastAsia"/>
                <w:sz w:val="20"/>
              </w:rPr>
              <w:t>江山九消</w:t>
            </w:r>
          </w:p>
        </w:tc>
      </w:tr>
      <w:tr>
        <w:tblPrEx>
          <w:tblCellMar>
            <w:top w:w="0" w:type="dxa"/>
            <w:left w:w="108" w:type="dxa"/>
            <w:bottom w:w="0" w:type="dxa"/>
            <w:right w:w="108" w:type="dxa"/>
          </w:tblCellMar>
        </w:tblPrEx>
        <w:trPr>
          <w:trHeight w:val="436"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30</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消防应急照明灯</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MT-ZFZD-E5W609</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盏</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常州市明特</w:t>
            </w:r>
            <w:r>
              <w:rPr>
                <w:sz w:val="20"/>
              </w:rPr>
              <w:t>/</w:t>
            </w:r>
            <w:r>
              <w:rPr>
                <w:rFonts w:hint="eastAsia"/>
                <w:sz w:val="20"/>
              </w:rPr>
              <w:t>明德斯牌</w:t>
            </w:r>
            <w:r>
              <w:rPr>
                <w:sz w:val="20"/>
              </w:rPr>
              <w:t>/</w:t>
            </w:r>
            <w:r>
              <w:rPr>
                <w:rFonts w:hint="eastAsia"/>
                <w:sz w:val="20"/>
              </w:rPr>
              <w:t>索辉</w:t>
            </w:r>
          </w:p>
        </w:tc>
      </w:tr>
      <w:tr>
        <w:tblPrEx>
          <w:tblCellMar>
            <w:top w:w="0" w:type="dxa"/>
            <w:left w:w="108" w:type="dxa"/>
            <w:bottom w:w="0" w:type="dxa"/>
            <w:right w:w="108" w:type="dxa"/>
          </w:tblCellMar>
        </w:tblPrEx>
        <w:trPr>
          <w:trHeight w:val="436"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31</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消防应急照明灯</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YG-ZFZD-E5W-1705</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应急工作时间：</w:t>
            </w:r>
            <w:r>
              <w:rPr>
                <w:sz w:val="20"/>
              </w:rPr>
              <w:t>90min</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套</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r>
      <w:tr>
        <w:tblPrEx>
          <w:tblCellMar>
            <w:top w:w="0" w:type="dxa"/>
            <w:left w:w="108" w:type="dxa"/>
            <w:bottom w:w="0" w:type="dxa"/>
            <w:right w:w="108" w:type="dxa"/>
          </w:tblCellMar>
        </w:tblPrEx>
        <w:trPr>
          <w:trHeight w:val="237"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32</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防爆应急灯</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应急功率2*5W,应急时间90min</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BCJ</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台</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常州市明特</w:t>
            </w:r>
            <w:r>
              <w:rPr>
                <w:sz w:val="20"/>
              </w:rPr>
              <w:t>/</w:t>
            </w:r>
            <w:r>
              <w:rPr>
                <w:rFonts w:hint="eastAsia"/>
                <w:sz w:val="20"/>
              </w:rPr>
              <w:t>明德斯牌</w:t>
            </w:r>
            <w:r>
              <w:rPr>
                <w:sz w:val="20"/>
              </w:rPr>
              <w:t>/</w:t>
            </w:r>
            <w:r>
              <w:rPr>
                <w:rFonts w:hint="eastAsia"/>
                <w:sz w:val="20"/>
              </w:rPr>
              <w:t>索辉</w:t>
            </w:r>
          </w:p>
        </w:tc>
      </w:tr>
      <w:tr>
        <w:tblPrEx>
          <w:tblCellMar>
            <w:top w:w="0" w:type="dxa"/>
            <w:left w:w="108" w:type="dxa"/>
            <w:bottom w:w="0" w:type="dxa"/>
            <w:right w:w="108" w:type="dxa"/>
          </w:tblCellMar>
        </w:tblPrEx>
        <w:trPr>
          <w:trHeight w:val="237"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33</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普通应急灯</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E5W1388</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应急＞6小时，有3C认证 AC220V 5W IP30</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常州市明特</w:t>
            </w:r>
            <w:r>
              <w:rPr>
                <w:sz w:val="20"/>
              </w:rPr>
              <w:t>/</w:t>
            </w:r>
            <w:r>
              <w:rPr>
                <w:rFonts w:hint="eastAsia"/>
                <w:sz w:val="20"/>
              </w:rPr>
              <w:t>明德斯牌</w:t>
            </w:r>
            <w:r>
              <w:rPr>
                <w:sz w:val="20"/>
              </w:rPr>
              <w:t>/</w:t>
            </w:r>
            <w:r>
              <w:rPr>
                <w:rFonts w:hint="eastAsia"/>
                <w:sz w:val="20"/>
              </w:rPr>
              <w:t>索辉</w:t>
            </w:r>
          </w:p>
        </w:tc>
      </w:tr>
      <w:tr>
        <w:tblPrEx>
          <w:tblCellMar>
            <w:top w:w="0" w:type="dxa"/>
            <w:left w:w="108" w:type="dxa"/>
            <w:bottom w:w="0" w:type="dxa"/>
            <w:right w:w="108" w:type="dxa"/>
          </w:tblCellMar>
        </w:tblPrEx>
        <w:trPr>
          <w:trHeight w:val="237"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34</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船用太平斧</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锻打钢斧（碳钢）</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产品硬度48-52HRC</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把</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r>
      <w:tr>
        <w:tblPrEx>
          <w:tblCellMar>
            <w:top w:w="0" w:type="dxa"/>
            <w:left w:w="108" w:type="dxa"/>
            <w:bottom w:w="0" w:type="dxa"/>
            <w:right w:w="108" w:type="dxa"/>
          </w:tblCellMar>
        </w:tblPrEx>
        <w:trPr>
          <w:trHeight w:val="237"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35</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石棉被</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2m*2m</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条</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5</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r>
      <w:tr>
        <w:tblPrEx>
          <w:tblCellMar>
            <w:top w:w="0" w:type="dxa"/>
            <w:left w:w="108" w:type="dxa"/>
            <w:bottom w:w="0" w:type="dxa"/>
            <w:right w:w="108" w:type="dxa"/>
          </w:tblCellMar>
        </w:tblPrEx>
        <w:trPr>
          <w:trHeight w:val="237"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36</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灭火毯</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1.5m*1.5m</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玻璃纤维</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条</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5</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jc w:val="left"/>
              <w:rPr>
                <w:rFonts w:ascii="宋体" w:hAnsi="宋体" w:cs="宋体"/>
                <w:sz w:val="20"/>
              </w:rPr>
            </w:pPr>
            <w:r>
              <w:rPr>
                <w:rFonts w:hint="eastAsia"/>
                <w:sz w:val="20"/>
              </w:rPr>
              <w:t>东安消防/浙安消防</w:t>
            </w:r>
          </w:p>
        </w:tc>
      </w:tr>
      <w:tr>
        <w:tblPrEx>
          <w:tblCellMar>
            <w:top w:w="0" w:type="dxa"/>
            <w:left w:w="108" w:type="dxa"/>
            <w:bottom w:w="0" w:type="dxa"/>
            <w:right w:w="108" w:type="dxa"/>
          </w:tblCellMar>
        </w:tblPrEx>
        <w:trPr>
          <w:trHeight w:val="423"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37</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不锈钢太平桶</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26cm×16cm×21cm</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20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r>
      <w:tr>
        <w:tblPrEx>
          <w:tblCellMar>
            <w:top w:w="0" w:type="dxa"/>
            <w:left w:w="108" w:type="dxa"/>
            <w:bottom w:w="0" w:type="dxa"/>
            <w:right w:w="108" w:type="dxa"/>
          </w:tblCellMar>
        </w:tblPrEx>
        <w:trPr>
          <w:trHeight w:val="423"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38</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黄沙箱</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48*28*30cm</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玻璃钢船用</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20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r>
      <w:tr>
        <w:tblPrEx>
          <w:tblCellMar>
            <w:top w:w="0" w:type="dxa"/>
            <w:left w:w="108" w:type="dxa"/>
            <w:bottom w:w="0" w:type="dxa"/>
            <w:right w:w="108" w:type="dxa"/>
          </w:tblCellMar>
        </w:tblPrEx>
        <w:trPr>
          <w:trHeight w:val="237"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39</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4KG干粉灭火器箱保护罩子</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与XMDF4-4灭火器箱配套</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sz w:val="20"/>
              </w:rPr>
            </w:pPr>
            <w:r>
              <w:rPr>
                <w:rFonts w:hint="eastAsia"/>
                <w:sz w:val="20"/>
              </w:rPr>
              <w:t>约62*20*57CM</w:t>
            </w:r>
          </w:p>
          <w:p>
            <w:pPr>
              <w:pStyle w:val="2"/>
              <w:spacing w:after="0" w:line="0" w:lineRule="atLeast"/>
            </w:pPr>
            <w:r>
              <w:rPr>
                <w:rFonts w:hint="eastAsia"/>
              </w:rPr>
              <w:t>性能：防水、防晒、防老化</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30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r>
      <w:tr>
        <w:tblPrEx>
          <w:tblCellMar>
            <w:top w:w="0" w:type="dxa"/>
            <w:left w:w="108" w:type="dxa"/>
            <w:bottom w:w="0" w:type="dxa"/>
            <w:right w:w="108" w:type="dxa"/>
          </w:tblCellMar>
        </w:tblPrEx>
        <w:trPr>
          <w:trHeight w:val="423"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40</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8KG干粉灭火器箱子保护罩子</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宽24*长45*高70CM</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sz w:val="20"/>
              </w:rPr>
            </w:pPr>
            <w:r>
              <w:rPr>
                <w:rFonts w:hint="eastAsia"/>
                <w:sz w:val="20"/>
              </w:rPr>
              <w:t>8公斤箱罩</w:t>
            </w:r>
          </w:p>
          <w:p>
            <w:pPr>
              <w:pStyle w:val="2"/>
              <w:spacing w:after="0" w:line="0" w:lineRule="atLeast"/>
            </w:pPr>
            <w:r>
              <w:rPr>
                <w:rFonts w:hint="eastAsia"/>
              </w:rPr>
              <w:t>性能：防水、防晒、防老化</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张</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30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r>
      <w:tr>
        <w:tblPrEx>
          <w:tblCellMar>
            <w:top w:w="0" w:type="dxa"/>
            <w:left w:w="108" w:type="dxa"/>
            <w:bottom w:w="0" w:type="dxa"/>
            <w:right w:w="108" w:type="dxa"/>
          </w:tblCellMar>
        </w:tblPrEx>
        <w:trPr>
          <w:trHeight w:val="423"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41</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手推式灭火罩</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sz w:val="20"/>
              </w:rPr>
            </w:pPr>
            <w:r>
              <w:rPr>
                <w:rFonts w:hint="eastAsia"/>
                <w:sz w:val="20"/>
              </w:rPr>
              <w:t>35公斤</w:t>
            </w:r>
          </w:p>
          <w:p>
            <w:pPr>
              <w:pStyle w:val="2"/>
              <w:spacing w:after="0" w:line="0" w:lineRule="atLeast"/>
            </w:pPr>
            <w:r>
              <w:rPr>
                <w:rFonts w:hint="eastAsia"/>
              </w:rPr>
              <w:t>性能：防水、防晒、防老化</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件</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30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r>
      <w:tr>
        <w:tblPrEx>
          <w:tblCellMar>
            <w:top w:w="0" w:type="dxa"/>
            <w:left w:w="108" w:type="dxa"/>
            <w:bottom w:w="0" w:type="dxa"/>
            <w:right w:w="108" w:type="dxa"/>
          </w:tblCellMar>
        </w:tblPrEx>
        <w:trPr>
          <w:trHeight w:val="237"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42</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手推式灭火罩</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sz w:val="20"/>
              </w:rPr>
            </w:pPr>
            <w:r>
              <w:rPr>
                <w:rFonts w:ascii="Calibri" w:hAnsi="Calibri"/>
                <w:sz w:val="20"/>
              </w:rPr>
              <w:t>50</w:t>
            </w:r>
            <w:r>
              <w:rPr>
                <w:rFonts w:hint="eastAsia"/>
                <w:sz w:val="20"/>
              </w:rPr>
              <w:t>公斤</w:t>
            </w:r>
          </w:p>
          <w:p>
            <w:pPr>
              <w:pStyle w:val="2"/>
              <w:spacing w:after="0" w:line="0" w:lineRule="atLeast"/>
            </w:pPr>
            <w:r>
              <w:rPr>
                <w:rFonts w:hint="eastAsia"/>
              </w:rPr>
              <w:t>性能：防水、防晒、防老化</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件</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Calibri" w:cs="宋体"/>
                <w:sz w:val="20"/>
              </w:rPr>
            </w:pPr>
            <w:r>
              <w:rPr>
                <w:rFonts w:ascii="Calibri" w:hAnsi="Calibri"/>
                <w:sz w:val="20"/>
              </w:rPr>
              <w:t>30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Calibri" w:cs="宋体"/>
                <w:sz w:val="20"/>
              </w:rPr>
            </w:pPr>
            <w:r>
              <w:rPr>
                <w:rFonts w:ascii="Calibri" w:hAnsi="Calibri"/>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Calibri" w:cs="宋体"/>
                <w:sz w:val="20"/>
              </w:rPr>
            </w:pPr>
            <w:r>
              <w:rPr>
                <w:rFonts w:ascii="Calibri" w:hAnsi="Calibri"/>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r>
      <w:tr>
        <w:tblPrEx>
          <w:tblCellMar>
            <w:top w:w="0" w:type="dxa"/>
            <w:left w:w="108" w:type="dxa"/>
            <w:bottom w:w="0" w:type="dxa"/>
            <w:right w:w="108" w:type="dxa"/>
          </w:tblCellMar>
        </w:tblPrEx>
        <w:trPr>
          <w:trHeight w:val="423"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43</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50KG手推式灭火器保护罩子</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94*50CM</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sz w:val="20"/>
              </w:rPr>
            </w:pPr>
            <w:r>
              <w:rPr>
                <w:rFonts w:hint="eastAsia"/>
                <w:sz w:val="20"/>
              </w:rPr>
              <w:t>002（东消）</w:t>
            </w:r>
          </w:p>
          <w:p>
            <w:pPr>
              <w:pStyle w:val="2"/>
              <w:spacing w:after="0" w:line="0" w:lineRule="atLeast"/>
            </w:pPr>
            <w:r>
              <w:rPr>
                <w:rFonts w:hint="eastAsia"/>
              </w:rPr>
              <w:t>性能：防水、防晒、防老化</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张</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30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r>
      <w:tr>
        <w:tblPrEx>
          <w:tblCellMar>
            <w:top w:w="0" w:type="dxa"/>
            <w:left w:w="108" w:type="dxa"/>
            <w:bottom w:w="0" w:type="dxa"/>
            <w:right w:w="108" w:type="dxa"/>
          </w:tblCellMar>
        </w:tblPrEx>
        <w:trPr>
          <w:trHeight w:val="423"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44</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消防水幕喷头</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3/4" 304</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只</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20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r>
      <w:tr>
        <w:tblPrEx>
          <w:tblCellMar>
            <w:top w:w="0" w:type="dxa"/>
            <w:left w:w="108" w:type="dxa"/>
            <w:bottom w:w="0" w:type="dxa"/>
            <w:right w:w="108" w:type="dxa"/>
          </w:tblCellMar>
        </w:tblPrEx>
        <w:trPr>
          <w:trHeight w:val="450"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45</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卧式泡沫发生器玻璃片</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水压破碎压力：0.1MPa~0.3MPa</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直径160mm 厚度2mm</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片</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6</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r>
      <w:tr>
        <w:tblPrEx>
          <w:tblCellMar>
            <w:top w:w="0" w:type="dxa"/>
            <w:left w:w="108" w:type="dxa"/>
            <w:bottom w:w="0" w:type="dxa"/>
            <w:right w:w="108" w:type="dxa"/>
          </w:tblCellMar>
        </w:tblPrEx>
        <w:trPr>
          <w:trHeight w:val="410"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46</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卧式泡沫发生器玻璃片</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水压破碎压力：0.1MPa~0.3MPa</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直径131mm 厚度2mm</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片</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6</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r>
      <w:tr>
        <w:tblPrEx>
          <w:tblCellMar>
            <w:top w:w="0" w:type="dxa"/>
            <w:left w:w="108" w:type="dxa"/>
            <w:bottom w:w="0" w:type="dxa"/>
            <w:right w:w="108" w:type="dxa"/>
          </w:tblCellMar>
        </w:tblPrEx>
        <w:trPr>
          <w:trHeight w:val="410"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47</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铜制消防锹</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把</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10</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　</w:t>
            </w:r>
          </w:p>
        </w:tc>
      </w:tr>
      <w:tr>
        <w:tblPrEx>
          <w:tblCellMar>
            <w:top w:w="0" w:type="dxa"/>
            <w:left w:w="108" w:type="dxa"/>
            <w:bottom w:w="0" w:type="dxa"/>
            <w:right w:w="108" w:type="dxa"/>
          </w:tblCellMar>
        </w:tblPrEx>
        <w:trPr>
          <w:trHeight w:val="450"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48</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消防头盔</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ascii="宋体" w:hAnsi="宋体" w:cs="宋体"/>
                <w:sz w:val="20"/>
              </w:rPr>
              <w:t>FTK-B/A</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符合</w:t>
            </w:r>
            <w:r>
              <w:rPr>
                <w:rFonts w:hint="eastAsia" w:ascii="Calibri" w:hAnsi="Calibri"/>
                <w:sz w:val="20"/>
              </w:rPr>
              <w:t>XF</w:t>
            </w:r>
            <w:r>
              <w:rPr>
                <w:rFonts w:ascii="Calibri" w:hAnsi="Calibri"/>
                <w:sz w:val="20"/>
              </w:rPr>
              <w:t>44-2015</w:t>
            </w:r>
            <w:r>
              <w:rPr>
                <w:rFonts w:hint="eastAsia"/>
                <w:sz w:val="20"/>
              </w:rPr>
              <w:t>标准</w:t>
            </w:r>
            <w:r>
              <w:rPr>
                <w:rFonts w:ascii="Calibri" w:hAnsi="Calibri"/>
                <w:sz w:val="20"/>
              </w:rPr>
              <w:t xml:space="preserve"> </w:t>
            </w:r>
            <w:r>
              <w:rPr>
                <w:rFonts w:hint="eastAsia"/>
                <w:sz w:val="20"/>
              </w:rPr>
              <w:t>提供</w:t>
            </w:r>
            <w:r>
              <w:rPr>
                <w:rFonts w:ascii="Calibri" w:hAnsi="Calibri"/>
                <w:sz w:val="20"/>
              </w:rPr>
              <w:t>3C</w:t>
            </w:r>
            <w:r>
              <w:rPr>
                <w:rFonts w:hint="eastAsia"/>
                <w:sz w:val="20"/>
              </w:rPr>
              <w:t>认证</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顶</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Calibri" w:cs="宋体"/>
                <w:sz w:val="20"/>
              </w:rPr>
            </w:pPr>
            <w:r>
              <w:rPr>
                <w:rFonts w:ascii="Calibri" w:hAnsi="Calibri"/>
                <w:sz w:val="20"/>
              </w:rPr>
              <w:t>6</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Calibri" w:cs="宋体"/>
                <w:sz w:val="20"/>
              </w:rPr>
            </w:pPr>
            <w:r>
              <w:rPr>
                <w:rFonts w:ascii="Calibri" w:hAnsi="Calibri"/>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Calibri" w:cs="宋体"/>
                <w:sz w:val="20"/>
              </w:rPr>
            </w:pPr>
            <w:r>
              <w:rPr>
                <w:rFonts w:ascii="Calibri" w:hAnsi="Calibri"/>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jc w:val="left"/>
              <w:rPr>
                <w:rFonts w:ascii="宋体" w:hAnsi="宋体" w:cs="宋体"/>
                <w:sz w:val="20"/>
              </w:rPr>
            </w:pPr>
            <w:r>
              <w:rPr>
                <w:rFonts w:hint="eastAsia"/>
                <w:sz w:val="20"/>
              </w:rPr>
              <w:t>江亚消防/泰州开隆</w:t>
            </w:r>
          </w:p>
        </w:tc>
      </w:tr>
      <w:tr>
        <w:tblPrEx>
          <w:tblCellMar>
            <w:top w:w="0" w:type="dxa"/>
            <w:left w:w="108" w:type="dxa"/>
            <w:bottom w:w="0" w:type="dxa"/>
            <w:right w:w="108" w:type="dxa"/>
          </w:tblCellMar>
        </w:tblPrEx>
        <w:trPr>
          <w:trHeight w:val="661"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49</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消防员灭火防护靴</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ascii="宋体" w:hAnsi="宋体" w:cs="宋体"/>
                <w:sz w:val="20"/>
              </w:rPr>
              <w:t>RJX</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符合国家标准</w:t>
            </w:r>
            <w:r>
              <w:rPr>
                <w:rFonts w:hint="eastAsia" w:ascii="Calibri" w:hAnsi="Calibri"/>
                <w:sz w:val="20"/>
              </w:rPr>
              <w:t>XF</w:t>
            </w:r>
            <w:r>
              <w:rPr>
                <w:rFonts w:ascii="Calibri" w:hAnsi="Calibri"/>
                <w:sz w:val="20"/>
              </w:rPr>
              <w:t xml:space="preserve">6-2004 </w:t>
            </w:r>
            <w:r>
              <w:rPr>
                <w:rFonts w:hint="eastAsia"/>
                <w:sz w:val="20"/>
              </w:rPr>
              <w:t>附技术要求书</w:t>
            </w:r>
            <w:r>
              <w:rPr>
                <w:rFonts w:ascii="Calibri" w:hAnsi="Calibri"/>
                <w:sz w:val="20"/>
              </w:rPr>
              <w:t xml:space="preserve"> </w:t>
            </w:r>
            <w:r>
              <w:rPr>
                <w:rFonts w:hint="eastAsia"/>
                <w:sz w:val="20"/>
              </w:rPr>
              <w:t>提供</w:t>
            </w:r>
            <w:r>
              <w:rPr>
                <w:rFonts w:ascii="Calibri" w:hAnsi="Calibri"/>
                <w:sz w:val="20"/>
              </w:rPr>
              <w:t>3C</w:t>
            </w:r>
            <w:r>
              <w:rPr>
                <w:rFonts w:hint="eastAsia"/>
                <w:sz w:val="20"/>
              </w:rPr>
              <w:t>认证</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双</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Calibri" w:cs="宋体"/>
                <w:sz w:val="20"/>
              </w:rPr>
            </w:pPr>
            <w:r>
              <w:rPr>
                <w:rFonts w:ascii="Calibri" w:hAnsi="Calibri"/>
                <w:sz w:val="20"/>
              </w:rPr>
              <w:t>3</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Calibri" w:cs="宋体"/>
                <w:sz w:val="20"/>
              </w:rPr>
            </w:pPr>
            <w:r>
              <w:rPr>
                <w:rFonts w:ascii="Calibri" w:hAnsi="Calibri"/>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Calibri" w:cs="宋体"/>
                <w:sz w:val="20"/>
              </w:rPr>
            </w:pPr>
            <w:r>
              <w:rPr>
                <w:rFonts w:ascii="Calibri" w:hAnsi="Calibri"/>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jc w:val="left"/>
              <w:rPr>
                <w:rFonts w:ascii="宋体" w:hAnsi="宋体" w:cs="宋体"/>
                <w:sz w:val="20"/>
              </w:rPr>
            </w:pPr>
            <w:r>
              <w:rPr>
                <w:rFonts w:hint="eastAsia"/>
                <w:sz w:val="20"/>
              </w:rPr>
              <w:t>江亚消防/江苏开拓者</w:t>
            </w:r>
          </w:p>
        </w:tc>
      </w:tr>
      <w:tr>
        <w:tblPrEx>
          <w:tblCellMar>
            <w:top w:w="0" w:type="dxa"/>
            <w:left w:w="108" w:type="dxa"/>
            <w:bottom w:w="0" w:type="dxa"/>
            <w:right w:w="108" w:type="dxa"/>
          </w:tblCellMar>
        </w:tblPrEx>
        <w:trPr>
          <w:trHeight w:val="450"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50</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消防手套</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ascii="宋体" w:hAnsi="宋体" w:cs="宋体"/>
                <w:sz w:val="20"/>
              </w:rPr>
              <w:t>每副手套应有永久性的标签，标签上应提供生产商提供的信息内容</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符合</w:t>
            </w:r>
            <w:r>
              <w:rPr>
                <w:rFonts w:ascii="Calibri" w:hAnsi="Calibri"/>
                <w:sz w:val="20"/>
              </w:rPr>
              <w:t>XF7-2004</w:t>
            </w:r>
            <w:r>
              <w:rPr>
                <w:rFonts w:hint="eastAsia"/>
                <w:sz w:val="20"/>
              </w:rPr>
              <w:t>标准</w:t>
            </w:r>
            <w:r>
              <w:rPr>
                <w:rFonts w:ascii="Calibri" w:hAnsi="Calibri"/>
                <w:sz w:val="20"/>
              </w:rPr>
              <w:t xml:space="preserve"> </w:t>
            </w:r>
            <w:r>
              <w:rPr>
                <w:rFonts w:hint="eastAsia"/>
                <w:sz w:val="20"/>
              </w:rPr>
              <w:t>提供</w:t>
            </w:r>
            <w:r>
              <w:rPr>
                <w:rFonts w:ascii="Calibri" w:hAnsi="Calibri"/>
                <w:sz w:val="20"/>
              </w:rPr>
              <w:t>3C</w:t>
            </w:r>
            <w:r>
              <w:rPr>
                <w:rFonts w:hint="eastAsia"/>
                <w:sz w:val="20"/>
              </w:rPr>
              <w:t>认证</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双</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Calibri" w:cs="宋体"/>
                <w:sz w:val="20"/>
              </w:rPr>
            </w:pPr>
            <w:r>
              <w:rPr>
                <w:rFonts w:ascii="Calibri" w:hAnsi="Calibri"/>
                <w:sz w:val="20"/>
              </w:rPr>
              <w:t>3</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Calibri" w:cs="宋体"/>
                <w:sz w:val="20"/>
              </w:rPr>
            </w:pPr>
            <w:r>
              <w:rPr>
                <w:rFonts w:ascii="Calibri" w:hAnsi="Calibri"/>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Calibri" w:cs="宋体"/>
                <w:sz w:val="20"/>
              </w:rPr>
            </w:pPr>
            <w:r>
              <w:rPr>
                <w:rFonts w:ascii="Calibri" w:hAnsi="Calibri"/>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jc w:val="left"/>
              <w:rPr>
                <w:rFonts w:ascii="宋体" w:hAnsi="宋体" w:cs="宋体"/>
                <w:sz w:val="20"/>
              </w:rPr>
            </w:pPr>
            <w:r>
              <w:rPr>
                <w:rFonts w:hint="eastAsia"/>
                <w:sz w:val="20"/>
              </w:rPr>
              <w:t>江亚消防/泰州威特</w:t>
            </w:r>
          </w:p>
        </w:tc>
      </w:tr>
      <w:tr>
        <w:tblPrEx>
          <w:tblCellMar>
            <w:top w:w="0" w:type="dxa"/>
            <w:left w:w="108" w:type="dxa"/>
            <w:bottom w:w="0" w:type="dxa"/>
            <w:right w:w="108" w:type="dxa"/>
          </w:tblCellMar>
        </w:tblPrEx>
        <w:trPr>
          <w:trHeight w:val="674"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51</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消防员灭火防护服（仅含上衣和裤子）</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ascii="宋体" w:hAnsi="宋体" w:cs="宋体"/>
                <w:sz w:val="20"/>
              </w:rPr>
              <w:t>ZFMH</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sz w:val="20"/>
              </w:rPr>
              <w:t>符合</w:t>
            </w:r>
            <w:r>
              <w:rPr>
                <w:rFonts w:hint="eastAsia" w:ascii="Calibri" w:hAnsi="Calibri"/>
                <w:sz w:val="20"/>
              </w:rPr>
              <w:t>XF</w:t>
            </w:r>
            <w:r>
              <w:rPr>
                <w:rFonts w:ascii="Calibri" w:hAnsi="Calibri"/>
                <w:sz w:val="20"/>
              </w:rPr>
              <w:t>10-2014(</w:t>
            </w:r>
            <w:r>
              <w:rPr>
                <w:rFonts w:hint="eastAsia"/>
                <w:sz w:val="20"/>
              </w:rPr>
              <w:t>消防员灭火防护服</w:t>
            </w:r>
            <w:r>
              <w:rPr>
                <w:rFonts w:ascii="Calibri" w:hAnsi="Calibri"/>
                <w:sz w:val="20"/>
              </w:rPr>
              <w:t>)</w:t>
            </w:r>
            <w:r>
              <w:rPr>
                <w:rFonts w:hint="eastAsia"/>
                <w:sz w:val="20"/>
              </w:rPr>
              <w:t>标准</w:t>
            </w:r>
            <w:r>
              <w:rPr>
                <w:rFonts w:ascii="Calibri" w:hAnsi="Calibri"/>
                <w:sz w:val="20"/>
              </w:rPr>
              <w:t xml:space="preserve"> </w:t>
            </w:r>
            <w:r>
              <w:rPr>
                <w:rFonts w:hint="eastAsia"/>
                <w:sz w:val="20"/>
              </w:rPr>
              <w:t>附技术要求书</w:t>
            </w:r>
            <w:r>
              <w:rPr>
                <w:rFonts w:ascii="Calibri" w:hAnsi="Calibri"/>
                <w:sz w:val="20"/>
              </w:rPr>
              <w:t xml:space="preserve"> </w:t>
            </w:r>
            <w:r>
              <w:rPr>
                <w:rFonts w:hint="eastAsia"/>
                <w:sz w:val="20"/>
              </w:rPr>
              <w:t>提供</w:t>
            </w:r>
            <w:r>
              <w:rPr>
                <w:rFonts w:ascii="Calibri" w:hAnsi="Calibri"/>
                <w:sz w:val="20"/>
              </w:rPr>
              <w:t>3C</w:t>
            </w:r>
            <w:r>
              <w:rPr>
                <w:rFonts w:hint="eastAsia"/>
                <w:sz w:val="20"/>
              </w:rPr>
              <w:t>认证</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宋体" w:hAnsi="宋体" w:cs="宋体"/>
                <w:sz w:val="20"/>
              </w:rPr>
            </w:pPr>
            <w:r>
              <w:rPr>
                <w:rFonts w:hint="eastAsia"/>
                <w:sz w:val="20"/>
              </w:rPr>
              <w:t>套</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Calibri" w:cs="宋体"/>
                <w:sz w:val="20"/>
              </w:rPr>
            </w:pPr>
            <w:r>
              <w:rPr>
                <w:rFonts w:ascii="Calibri" w:hAnsi="Calibri"/>
                <w:sz w:val="20"/>
              </w:rPr>
              <w:t>3</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Calibri" w:cs="宋体"/>
                <w:sz w:val="20"/>
              </w:rPr>
            </w:pPr>
            <w:r>
              <w:rPr>
                <w:rFonts w:ascii="Calibri" w:hAnsi="Calibri"/>
                <w:sz w:val="20"/>
              </w:rPr>
              <w:t>　</w:t>
            </w: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Calibri" w:cs="宋体"/>
                <w:sz w:val="20"/>
              </w:rPr>
            </w:pPr>
            <w:r>
              <w:rPr>
                <w:rFonts w:ascii="Calibri" w:hAnsi="Calibri"/>
                <w:sz w:val="20"/>
              </w:rPr>
              <w:t>　</w:t>
            </w: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jc w:val="left"/>
              <w:rPr>
                <w:rFonts w:ascii="宋体" w:hAnsi="宋体" w:cs="宋体"/>
                <w:sz w:val="20"/>
              </w:rPr>
            </w:pPr>
            <w:r>
              <w:rPr>
                <w:rFonts w:hint="eastAsia"/>
                <w:sz w:val="20"/>
              </w:rPr>
              <w:t>江亚消防/泰州威特</w:t>
            </w:r>
          </w:p>
        </w:tc>
      </w:tr>
      <w:tr>
        <w:tblPrEx>
          <w:tblCellMar>
            <w:top w:w="0" w:type="dxa"/>
            <w:left w:w="108" w:type="dxa"/>
            <w:bottom w:w="0" w:type="dxa"/>
            <w:right w:w="108" w:type="dxa"/>
          </w:tblCellMar>
        </w:tblPrEx>
        <w:trPr>
          <w:trHeight w:val="674" w:hRule="atLeast"/>
        </w:trPr>
        <w:tc>
          <w:tcPr>
            <w:tcW w:w="313" w:type="pct"/>
            <w:tcBorders>
              <w:top w:val="nil"/>
              <w:left w:val="single" w:color="auto" w:sz="4" w:space="0"/>
              <w:bottom w:val="single" w:color="auto" w:sz="4" w:space="0"/>
              <w:right w:val="single" w:color="auto" w:sz="4" w:space="0"/>
            </w:tcBorders>
            <w:shd w:val="clear" w:color="000000" w:fill="FFFFFF"/>
            <w:vAlign w:val="center"/>
          </w:tcPr>
          <w:p>
            <w:pPr>
              <w:spacing w:line="0" w:lineRule="atLeast"/>
              <w:jc w:val="center"/>
              <w:rPr>
                <w:sz w:val="20"/>
              </w:rPr>
            </w:pPr>
            <w:r>
              <w:rPr>
                <w:rFonts w:hint="eastAsia"/>
                <w:sz w:val="20"/>
              </w:rPr>
              <w:t>52</w:t>
            </w:r>
          </w:p>
        </w:tc>
        <w:tc>
          <w:tcPr>
            <w:tcW w:w="777" w:type="pct"/>
            <w:tcBorders>
              <w:top w:val="nil"/>
              <w:left w:val="nil"/>
              <w:bottom w:val="single" w:color="auto" w:sz="4" w:space="0"/>
              <w:right w:val="single" w:color="auto" w:sz="4" w:space="0"/>
            </w:tcBorders>
            <w:shd w:val="clear" w:color="000000" w:fill="FFFFFF"/>
            <w:vAlign w:val="center"/>
          </w:tcPr>
          <w:p>
            <w:pPr>
              <w:spacing w:line="0" w:lineRule="atLeast"/>
              <w:rPr>
                <w:sz w:val="20"/>
              </w:rPr>
            </w:pPr>
            <w:r>
              <w:rPr>
                <w:rFonts w:hint="eastAsia"/>
                <w:sz w:val="20"/>
              </w:rPr>
              <w:t>消防安全腰带</w:t>
            </w:r>
          </w:p>
        </w:tc>
        <w:tc>
          <w:tcPr>
            <w:tcW w:w="834" w:type="pct"/>
            <w:tcBorders>
              <w:top w:val="nil"/>
              <w:left w:val="nil"/>
              <w:bottom w:val="single" w:color="auto" w:sz="4" w:space="0"/>
              <w:right w:val="single" w:color="auto" w:sz="4" w:space="0"/>
            </w:tcBorders>
            <w:shd w:val="clear" w:color="000000" w:fill="FFFFFF"/>
            <w:vAlign w:val="center"/>
          </w:tcPr>
          <w:p>
            <w:pPr>
              <w:spacing w:line="0" w:lineRule="atLeast"/>
              <w:rPr>
                <w:rFonts w:ascii="宋体" w:hAnsi="宋体" w:cs="宋体"/>
                <w:sz w:val="20"/>
              </w:rPr>
            </w:pPr>
            <w:r>
              <w:rPr>
                <w:rFonts w:hint="eastAsia" w:ascii="宋体" w:hAnsi="宋体" w:cs="宋体"/>
                <w:sz w:val="20"/>
              </w:rPr>
              <w:t>FZL-YD</w:t>
            </w:r>
          </w:p>
        </w:tc>
        <w:tc>
          <w:tcPr>
            <w:tcW w:w="920" w:type="pct"/>
            <w:tcBorders>
              <w:top w:val="nil"/>
              <w:left w:val="nil"/>
              <w:bottom w:val="single" w:color="auto" w:sz="4" w:space="0"/>
              <w:right w:val="single" w:color="auto" w:sz="4" w:space="0"/>
            </w:tcBorders>
            <w:shd w:val="clear" w:color="000000" w:fill="FFFFFF"/>
            <w:vAlign w:val="center"/>
          </w:tcPr>
          <w:p>
            <w:pPr>
              <w:spacing w:line="0" w:lineRule="atLeast"/>
              <w:rPr>
                <w:sz w:val="20"/>
              </w:rPr>
            </w:pPr>
            <w:r>
              <w:rPr>
                <w:rFonts w:hint="eastAsia"/>
                <w:sz w:val="20"/>
              </w:rPr>
              <w:t>符合消防用防坠落装备 XF494-2004 提供</w:t>
            </w:r>
            <w:r>
              <w:rPr>
                <w:rFonts w:ascii="Calibri" w:hAnsi="Calibri"/>
                <w:sz w:val="20"/>
              </w:rPr>
              <w:t>3C</w:t>
            </w:r>
            <w:r>
              <w:rPr>
                <w:rFonts w:hint="eastAsia"/>
                <w:sz w:val="20"/>
              </w:rPr>
              <w:t>认证</w:t>
            </w:r>
          </w:p>
        </w:tc>
        <w:tc>
          <w:tcPr>
            <w:tcW w:w="292" w:type="pct"/>
            <w:tcBorders>
              <w:top w:val="nil"/>
              <w:left w:val="nil"/>
              <w:bottom w:val="single" w:color="auto" w:sz="4" w:space="0"/>
              <w:right w:val="single" w:color="auto" w:sz="4" w:space="0"/>
            </w:tcBorders>
            <w:shd w:val="clear" w:color="000000" w:fill="FFFFFF"/>
            <w:vAlign w:val="center"/>
          </w:tcPr>
          <w:p>
            <w:pPr>
              <w:spacing w:line="0" w:lineRule="atLeast"/>
              <w:jc w:val="center"/>
              <w:rPr>
                <w:sz w:val="20"/>
              </w:rPr>
            </w:pPr>
            <w:r>
              <w:rPr>
                <w:rFonts w:hint="eastAsia"/>
                <w:sz w:val="20"/>
              </w:rPr>
              <w:t>根</w:t>
            </w:r>
          </w:p>
        </w:tc>
        <w:tc>
          <w:tcPr>
            <w:tcW w:w="328"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Calibri"/>
                <w:sz w:val="20"/>
              </w:rPr>
            </w:pPr>
            <w:r>
              <w:rPr>
                <w:rFonts w:hint="eastAsia" w:ascii="Calibri" w:hAnsi="Calibri"/>
                <w:sz w:val="20"/>
              </w:rPr>
              <w:t>5</w:t>
            </w:r>
          </w:p>
        </w:tc>
        <w:tc>
          <w:tcPr>
            <w:tcW w:w="463"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Calibri"/>
                <w:sz w:val="20"/>
              </w:rPr>
            </w:pPr>
          </w:p>
        </w:tc>
        <w:tc>
          <w:tcPr>
            <w:tcW w:w="527" w:type="pct"/>
            <w:tcBorders>
              <w:top w:val="nil"/>
              <w:left w:val="nil"/>
              <w:bottom w:val="single" w:color="auto" w:sz="4" w:space="0"/>
              <w:right w:val="single" w:color="auto" w:sz="4" w:space="0"/>
            </w:tcBorders>
            <w:shd w:val="clear" w:color="000000" w:fill="FFFFFF"/>
            <w:vAlign w:val="center"/>
          </w:tcPr>
          <w:p>
            <w:pPr>
              <w:spacing w:line="0" w:lineRule="atLeast"/>
              <w:jc w:val="center"/>
              <w:rPr>
                <w:rFonts w:ascii="Calibri" w:hAnsi="Calibri"/>
                <w:sz w:val="20"/>
              </w:rPr>
            </w:pPr>
          </w:p>
        </w:tc>
        <w:tc>
          <w:tcPr>
            <w:tcW w:w="542" w:type="pct"/>
            <w:tcBorders>
              <w:top w:val="nil"/>
              <w:left w:val="nil"/>
              <w:bottom w:val="single" w:color="auto" w:sz="4" w:space="0"/>
              <w:right w:val="single" w:color="auto" w:sz="4" w:space="0"/>
            </w:tcBorders>
            <w:shd w:val="clear" w:color="000000" w:fill="FFFFFF"/>
            <w:vAlign w:val="center"/>
          </w:tcPr>
          <w:p>
            <w:pPr>
              <w:spacing w:line="0" w:lineRule="atLeast"/>
              <w:jc w:val="left"/>
              <w:rPr>
                <w:sz w:val="20"/>
              </w:rPr>
            </w:pPr>
            <w:r>
              <w:rPr>
                <w:rFonts w:hint="eastAsia"/>
                <w:sz w:val="20"/>
              </w:rPr>
              <w:t>江亚消防/廊坊建钢</w:t>
            </w:r>
          </w:p>
        </w:tc>
      </w:tr>
      <w:tr>
        <w:tblPrEx>
          <w:tblCellMar>
            <w:top w:w="0" w:type="dxa"/>
            <w:left w:w="108" w:type="dxa"/>
            <w:bottom w:w="0" w:type="dxa"/>
            <w:right w:w="108" w:type="dxa"/>
          </w:tblCellMar>
        </w:tblPrEx>
        <w:trPr>
          <w:trHeight w:val="676" w:hRule="atLeast"/>
        </w:trPr>
        <w:tc>
          <w:tcPr>
            <w:tcW w:w="284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rPr>
                <w:rFonts w:ascii="宋体" w:hAnsi="宋体" w:cs="宋体"/>
                <w:kern w:val="0"/>
                <w:szCs w:val="21"/>
              </w:rPr>
            </w:pPr>
            <w:r>
              <w:rPr>
                <w:rFonts w:hint="eastAsia" w:ascii="宋体" w:hAnsi="宋体" w:cs="宋体"/>
                <w:kern w:val="0"/>
                <w:szCs w:val="21"/>
              </w:rPr>
              <w:t>以上合计总价（小写）： 　</w:t>
            </w:r>
          </w:p>
        </w:tc>
        <w:tc>
          <w:tcPr>
            <w:tcW w:w="2154" w:type="pct"/>
            <w:gridSpan w:val="5"/>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center"/>
              <w:rPr>
                <w:rFonts w:ascii="宋体" w:hAnsi="宋体" w:cs="宋体"/>
                <w:kern w:val="0"/>
                <w:sz w:val="18"/>
                <w:szCs w:val="18"/>
              </w:rPr>
            </w:pPr>
          </w:p>
        </w:tc>
      </w:tr>
      <w:tr>
        <w:tblPrEx>
          <w:tblCellMar>
            <w:top w:w="0" w:type="dxa"/>
            <w:left w:w="108" w:type="dxa"/>
            <w:bottom w:w="0" w:type="dxa"/>
            <w:right w:w="108" w:type="dxa"/>
          </w:tblCellMar>
        </w:tblPrEx>
        <w:trPr>
          <w:trHeight w:val="567" w:hRule="atLeast"/>
        </w:trPr>
        <w:tc>
          <w:tcPr>
            <w:tcW w:w="2845"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0" w:lineRule="atLeast"/>
              <w:jc w:val="left"/>
              <w:rPr>
                <w:rFonts w:ascii="宋体" w:hAnsi="宋体" w:cs="宋体"/>
                <w:kern w:val="0"/>
                <w:szCs w:val="21"/>
              </w:rPr>
            </w:pPr>
            <w:r>
              <w:rPr>
                <w:rFonts w:hint="eastAsia" w:ascii="宋体" w:hAnsi="宋体" w:cs="宋体"/>
                <w:kern w:val="0"/>
                <w:szCs w:val="21"/>
              </w:rPr>
              <w:t>交货期：合同签订生效通知送货后**天内</w:t>
            </w:r>
          </w:p>
        </w:tc>
        <w:tc>
          <w:tcPr>
            <w:tcW w:w="2154" w:type="pct"/>
            <w:gridSpan w:val="5"/>
            <w:tcBorders>
              <w:top w:val="single" w:color="auto" w:sz="4" w:space="0"/>
              <w:left w:val="nil"/>
              <w:bottom w:val="single" w:color="auto" w:sz="4" w:space="0"/>
              <w:right w:val="single" w:color="auto" w:sz="4" w:space="0"/>
            </w:tcBorders>
            <w:shd w:val="clear" w:color="auto" w:fill="auto"/>
            <w:vAlign w:val="center"/>
          </w:tcPr>
          <w:p>
            <w:pPr>
              <w:widowControl/>
              <w:spacing w:line="0" w:lineRule="atLeast"/>
              <w:jc w:val="left"/>
              <w:rPr>
                <w:rFonts w:ascii="宋体" w:hAnsi="宋体" w:cs="宋体"/>
                <w:kern w:val="0"/>
                <w:sz w:val="18"/>
                <w:szCs w:val="18"/>
              </w:rPr>
            </w:pPr>
          </w:p>
        </w:tc>
      </w:tr>
    </w:tbl>
    <w:p>
      <w:pPr>
        <w:pStyle w:val="9"/>
        <w:adjustRightInd w:val="0"/>
        <w:snapToGrid w:val="0"/>
        <w:spacing w:before="0" w:after="0" w:line="600" w:lineRule="exact"/>
        <w:jc w:val="left"/>
        <w:rPr>
          <w:rFonts w:hint="eastAsia" w:ascii="方正仿宋简体" w:hAnsi="方正仿宋简体" w:eastAsia="方正仿宋简体" w:cs="方正仿宋简体"/>
          <w:kern w:val="1"/>
        </w:rPr>
      </w:pPr>
    </w:p>
    <w:p>
      <w:pPr>
        <w:pStyle w:val="9"/>
        <w:adjustRightInd w:val="0"/>
        <w:snapToGrid w:val="0"/>
        <w:spacing w:before="0" w:after="0" w:line="600" w:lineRule="exact"/>
        <w:jc w:val="left"/>
        <w:rPr>
          <w:rFonts w:hint="eastAsia" w:ascii="方正仿宋简体" w:hAnsi="方正仿宋简体" w:eastAsia="方正仿宋简体" w:cs="方正仿宋简体"/>
          <w:kern w:val="1"/>
        </w:rPr>
      </w:pPr>
    </w:p>
    <w:p>
      <w:pPr>
        <w:pStyle w:val="9"/>
        <w:adjustRightInd w:val="0"/>
        <w:snapToGrid w:val="0"/>
        <w:spacing w:before="0" w:after="0" w:line="600" w:lineRule="exact"/>
        <w:jc w:val="left"/>
        <w:rPr>
          <w:rFonts w:hint="eastAsia" w:ascii="方正黑体_GBK" w:hAnsi="方正黑体_GBK" w:eastAsia="方正仿宋简体" w:cs="方正黑体_GBK"/>
          <w:b w:val="0"/>
          <w:lang w:eastAsia="zh-CN"/>
        </w:rPr>
      </w:pPr>
      <w:r>
        <w:rPr>
          <w:rFonts w:hint="eastAsia" w:ascii="方正仿宋简体" w:hAnsi="方正仿宋简体" w:eastAsia="方正仿宋简体" w:cs="方正仿宋简体"/>
          <w:kern w:val="1"/>
        </w:rPr>
        <w:t>附件2</w:t>
      </w:r>
      <w:r>
        <w:rPr>
          <w:rFonts w:hint="eastAsia" w:ascii="方正仿宋简体" w:hAnsi="方正仿宋简体" w:eastAsia="方正仿宋简体" w:cs="方正仿宋简体"/>
          <w:kern w:val="1"/>
          <w:lang w:eastAsia="zh-CN"/>
        </w:rPr>
        <w:t>：</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bookmarkStart w:id="0" w:name="_GoBack"/>
      <w:bookmarkEnd w:id="0"/>
    </w:p>
    <w:p>
      <w:pPr>
        <w:pStyle w:val="3"/>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附件3：</w:t>
      </w:r>
      <w:r>
        <w:rPr>
          <w:rFonts w:ascii="方正仿宋简体" w:hAnsi="方正仿宋简体" w:eastAsia="方正仿宋简体" w:cs="方正仿宋简体"/>
          <w:color w:val="000000"/>
        </w:rPr>
        <w:t xml:space="preserve"> </w:t>
      </w:r>
    </w:p>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产品买卖合同模板</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出卖人：***公司                    　　  </w:t>
      </w:r>
    </w:p>
    <w:p>
      <w:pPr>
        <w:spacing w:line="600" w:lineRule="exact"/>
        <w:ind w:left="319" w:leftChars="152" w:firstLine="320" w:firstLineChars="1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买受人：镇江海纳川物流产业发展有限责任公司或子公司（江苏兴普物贸有限公司、镇江海纳川公铁运输有限公司）：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p>
    <w:tbl>
      <w:tblPr>
        <w:tblStyle w:val="11"/>
        <w:tblpPr w:leftFromText="180" w:rightFromText="180" w:vertAnchor="text" w:horzAnchor="margin" w:tblpY="-363"/>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91"/>
        <w:gridCol w:w="1435"/>
        <w:gridCol w:w="1902"/>
        <w:gridCol w:w="556"/>
        <w:gridCol w:w="590"/>
        <w:gridCol w:w="1180"/>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83"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291"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1435"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1902"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556"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590" w:type="dxa"/>
            <w:vAlign w:val="center"/>
          </w:tcPr>
          <w:p>
            <w:pPr>
              <w:widowControl/>
              <w:spacing w:line="0" w:lineRule="atLeast"/>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1180" w:type="dxa"/>
            <w:vAlign w:val="center"/>
          </w:tcPr>
          <w:p>
            <w:pPr>
              <w:widowControl/>
              <w:spacing w:line="0" w:lineRule="atLeast"/>
              <w:jc w:val="center"/>
              <w:rPr>
                <w:rFonts w:ascii="仿宋" w:hAnsi="仿宋" w:eastAsia="仿宋" w:cs="仿宋"/>
                <w:sz w:val="24"/>
                <w:szCs w:val="24"/>
              </w:rPr>
            </w:pPr>
            <w:r>
              <w:rPr>
                <w:rFonts w:hint="eastAsia" w:ascii="仿宋" w:hAnsi="仿宋" w:eastAsia="仿宋" w:cs="仿宋"/>
                <w:sz w:val="24"/>
                <w:szCs w:val="24"/>
              </w:rPr>
              <w:t>单价  （含税）</w:t>
            </w:r>
          </w:p>
        </w:tc>
        <w:tc>
          <w:tcPr>
            <w:tcW w:w="1181" w:type="dxa"/>
            <w:vAlign w:val="center"/>
          </w:tcPr>
          <w:p>
            <w:pPr>
              <w:widowControl/>
              <w:spacing w:line="0" w:lineRule="atLeast"/>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683"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291" w:type="dxa"/>
            <w:vAlign w:val="center"/>
          </w:tcPr>
          <w:p>
            <w:pPr>
              <w:widowControl/>
              <w:jc w:val="center"/>
              <w:rPr>
                <w:rFonts w:ascii="方正仿宋简体" w:hAnsi="方正仿宋简体" w:eastAsia="方正仿宋简体" w:cs="方正仿宋简体"/>
                <w:sz w:val="18"/>
                <w:szCs w:val="18"/>
              </w:rPr>
            </w:pPr>
          </w:p>
        </w:tc>
        <w:tc>
          <w:tcPr>
            <w:tcW w:w="1435" w:type="dxa"/>
            <w:vAlign w:val="center"/>
          </w:tcPr>
          <w:p>
            <w:pPr>
              <w:widowControl/>
              <w:jc w:val="center"/>
              <w:rPr>
                <w:rFonts w:ascii="方正仿宋简体" w:hAnsi="方正仿宋简体" w:eastAsia="方正仿宋简体" w:cs="方正仿宋简体"/>
                <w:sz w:val="18"/>
                <w:szCs w:val="18"/>
              </w:rPr>
            </w:pPr>
          </w:p>
        </w:tc>
        <w:tc>
          <w:tcPr>
            <w:tcW w:w="1902" w:type="dxa"/>
            <w:vAlign w:val="center"/>
          </w:tcPr>
          <w:p>
            <w:pPr>
              <w:widowControl/>
              <w:jc w:val="center"/>
              <w:rPr>
                <w:rFonts w:ascii="方正仿宋简体" w:hAnsi="方正仿宋简体" w:eastAsia="方正仿宋简体" w:cs="方正仿宋简体"/>
                <w:sz w:val="18"/>
                <w:szCs w:val="18"/>
              </w:rPr>
            </w:pPr>
          </w:p>
        </w:tc>
        <w:tc>
          <w:tcPr>
            <w:tcW w:w="556" w:type="dxa"/>
            <w:vAlign w:val="center"/>
          </w:tcPr>
          <w:p>
            <w:pPr>
              <w:widowControl/>
              <w:jc w:val="center"/>
              <w:rPr>
                <w:rFonts w:ascii="方正仿宋简体" w:hAnsi="方正仿宋简体" w:eastAsia="方正仿宋简体" w:cs="方正仿宋简体"/>
                <w:sz w:val="18"/>
                <w:szCs w:val="18"/>
              </w:rPr>
            </w:pPr>
          </w:p>
        </w:tc>
        <w:tc>
          <w:tcPr>
            <w:tcW w:w="590" w:type="dxa"/>
            <w:vAlign w:val="center"/>
          </w:tcPr>
          <w:p>
            <w:pPr>
              <w:widowControl/>
              <w:jc w:val="center"/>
              <w:rPr>
                <w:rFonts w:ascii="方正仿宋简体" w:hAnsi="方正仿宋简体" w:eastAsia="方正仿宋简体" w:cs="方正仿宋简体"/>
                <w:sz w:val="18"/>
                <w:szCs w:val="18"/>
              </w:rPr>
            </w:pPr>
          </w:p>
        </w:tc>
        <w:tc>
          <w:tcPr>
            <w:tcW w:w="1180" w:type="dxa"/>
            <w:vAlign w:val="center"/>
          </w:tcPr>
          <w:p>
            <w:pPr>
              <w:widowControl/>
              <w:jc w:val="center"/>
              <w:rPr>
                <w:rFonts w:ascii="仿宋" w:hAnsi="仿宋" w:eastAsia="仿宋" w:cs="仿宋"/>
                <w:sz w:val="24"/>
                <w:szCs w:val="24"/>
              </w:rPr>
            </w:pPr>
          </w:p>
        </w:tc>
        <w:tc>
          <w:tcPr>
            <w:tcW w:w="1181"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83"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291" w:type="dxa"/>
            <w:vAlign w:val="center"/>
          </w:tcPr>
          <w:p>
            <w:pPr>
              <w:widowControl/>
              <w:jc w:val="center"/>
              <w:rPr>
                <w:rFonts w:ascii="方正仿宋简体" w:hAnsi="方正仿宋简体" w:eastAsia="方正仿宋简体" w:cs="方正仿宋简体"/>
                <w:sz w:val="18"/>
                <w:szCs w:val="18"/>
              </w:rPr>
            </w:pPr>
          </w:p>
        </w:tc>
        <w:tc>
          <w:tcPr>
            <w:tcW w:w="1435" w:type="dxa"/>
            <w:vAlign w:val="center"/>
          </w:tcPr>
          <w:p>
            <w:pPr>
              <w:widowControl/>
              <w:jc w:val="center"/>
              <w:rPr>
                <w:rFonts w:ascii="方正仿宋简体" w:hAnsi="方正仿宋简体" w:eastAsia="方正仿宋简体" w:cs="方正仿宋简体"/>
                <w:sz w:val="18"/>
                <w:szCs w:val="18"/>
              </w:rPr>
            </w:pPr>
          </w:p>
        </w:tc>
        <w:tc>
          <w:tcPr>
            <w:tcW w:w="1902" w:type="dxa"/>
            <w:vAlign w:val="center"/>
          </w:tcPr>
          <w:p>
            <w:pPr>
              <w:widowControl/>
              <w:jc w:val="center"/>
              <w:rPr>
                <w:rFonts w:ascii="方正仿宋简体" w:hAnsi="方正仿宋简体" w:eastAsia="方正仿宋简体" w:cs="方正仿宋简体"/>
                <w:sz w:val="18"/>
                <w:szCs w:val="18"/>
              </w:rPr>
            </w:pPr>
          </w:p>
        </w:tc>
        <w:tc>
          <w:tcPr>
            <w:tcW w:w="556" w:type="dxa"/>
            <w:vAlign w:val="center"/>
          </w:tcPr>
          <w:p>
            <w:pPr>
              <w:widowControl/>
              <w:jc w:val="center"/>
              <w:rPr>
                <w:rFonts w:ascii="方正仿宋简体" w:hAnsi="方正仿宋简体" w:eastAsia="方正仿宋简体" w:cs="方正仿宋简体"/>
                <w:sz w:val="18"/>
                <w:szCs w:val="18"/>
              </w:rPr>
            </w:pPr>
          </w:p>
        </w:tc>
        <w:tc>
          <w:tcPr>
            <w:tcW w:w="590" w:type="dxa"/>
            <w:vAlign w:val="center"/>
          </w:tcPr>
          <w:p>
            <w:pPr>
              <w:widowControl/>
              <w:jc w:val="center"/>
              <w:rPr>
                <w:rFonts w:ascii="方正仿宋简体" w:hAnsi="方正仿宋简体" w:eastAsia="方正仿宋简体" w:cs="方正仿宋简体"/>
                <w:sz w:val="18"/>
                <w:szCs w:val="18"/>
              </w:rPr>
            </w:pPr>
          </w:p>
        </w:tc>
        <w:tc>
          <w:tcPr>
            <w:tcW w:w="1180" w:type="dxa"/>
            <w:vAlign w:val="center"/>
          </w:tcPr>
          <w:p>
            <w:pPr>
              <w:widowControl/>
              <w:jc w:val="center"/>
              <w:rPr>
                <w:rFonts w:ascii="仿宋" w:hAnsi="仿宋" w:eastAsia="仿宋" w:cs="仿宋"/>
                <w:sz w:val="24"/>
                <w:szCs w:val="24"/>
              </w:rPr>
            </w:pPr>
          </w:p>
        </w:tc>
        <w:tc>
          <w:tcPr>
            <w:tcW w:w="1181"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311"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 xml:space="preserve">以上合计总价（大写）： </w:t>
            </w:r>
          </w:p>
        </w:tc>
        <w:tc>
          <w:tcPr>
            <w:tcW w:w="3507"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311"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税率：** %</w:t>
            </w:r>
          </w:p>
        </w:tc>
        <w:tc>
          <w:tcPr>
            <w:tcW w:w="3507" w:type="dxa"/>
            <w:gridSpan w:val="4"/>
            <w:vAlign w:val="center"/>
          </w:tcPr>
          <w:p>
            <w:pPr>
              <w:widowControl/>
              <w:spacing w:line="0" w:lineRule="atLeast"/>
              <w:jc w:val="left"/>
              <w:rPr>
                <w:rFonts w:ascii="仿宋" w:hAnsi="仿宋" w:eastAsia="仿宋" w:cs="仿宋"/>
                <w:sz w:val="24"/>
                <w:szCs w:val="24"/>
              </w:rPr>
            </w:pPr>
            <w:r>
              <w:rPr>
                <w:rFonts w:hint="eastAsia" w:ascii="仿宋" w:hAnsi="仿宋" w:eastAsia="仿宋" w:cs="仿宋"/>
                <w:sz w:val="24"/>
                <w:szCs w:val="24"/>
              </w:rPr>
              <w:t>到货期：合同签订生效通知送货后**天内</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第十一条  其它约定事项</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标书外且市场单价不足三千元的材料，出卖人同意按买受人</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市场调研的最低价予以供货。有效期：2024年1月1日 至 </w:t>
      </w:r>
    </w:p>
    <w:p>
      <w:pPr>
        <w:ind w:left="1760" w:hanging="1760" w:hangingChars="5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2024年 12月 31日。</w:t>
      </w:r>
    </w:p>
    <w:tbl>
      <w:tblPr>
        <w:tblStyle w:val="1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乙方（盖章）：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单位地址：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电话： </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开户行：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r>
    </w:tbl>
    <w:p>
      <w:pPr>
        <w:spacing w:line="600" w:lineRule="exact"/>
        <w:ind w:left="319" w:leftChars="152" w:firstLine="320" w:firstLineChars="100"/>
        <w:jc w:val="left"/>
      </w:pPr>
      <w:r>
        <w:rPr>
          <w:rFonts w:hint="eastAsia" w:ascii="方正仿宋简体" w:hAnsi="方正仿宋简体" w:eastAsia="方正仿宋简体" w:cs="方正仿宋简体"/>
          <w:sz w:val="32"/>
          <w:szCs w:val="32"/>
        </w:rPr>
        <w:t>本页为镇江海纳川物流产业发展有限责任公司或子公司（江苏兴普物贸有限公司、镇江海纳川公铁运输有限公司）与***公司于****年*月*日签订的《产品买卖合同》（编号：</w:t>
      </w:r>
      <w:r>
        <w:rPr>
          <w:rFonts w:hint="eastAsia" w:ascii="微软雅黑" w:hAnsi="微软雅黑" w:eastAsia="微软雅黑"/>
          <w:color w:val="333333"/>
          <w:sz w:val="26"/>
          <w:szCs w:val="26"/>
          <w:shd w:val="clear" w:color="auto" w:fill="FFFFFF"/>
        </w:rPr>
        <w:t>HJHB-E-202*-****</w:t>
      </w:r>
      <w:r>
        <w:rPr>
          <w:rFonts w:hint="eastAsia" w:ascii="方正仿宋简体" w:hAnsi="方正仿宋简体" w:eastAsia="方正仿宋简体" w:cs="方正仿宋简体"/>
          <w:sz w:val="32"/>
          <w:szCs w:val="32"/>
        </w:rPr>
        <w:t>）合同签章页。</w:t>
      </w:r>
    </w:p>
    <w:sectPr>
      <w:footerReference r:id="rId3" w:type="default"/>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14</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I5MWM2YjU3NjgyYzAyZWIyNDMxM2FmOGI0YzZlZmYifQ=="/>
  </w:docVars>
  <w:rsids>
    <w:rsidRoot w:val="359E47FF"/>
    <w:rsid w:val="00000FF3"/>
    <w:rsid w:val="00004172"/>
    <w:rsid w:val="00030F87"/>
    <w:rsid w:val="000310BC"/>
    <w:rsid w:val="0003693D"/>
    <w:rsid w:val="0006324C"/>
    <w:rsid w:val="00063E06"/>
    <w:rsid w:val="000727B0"/>
    <w:rsid w:val="000A22DB"/>
    <w:rsid w:val="000C1845"/>
    <w:rsid w:val="000C23F2"/>
    <w:rsid w:val="000D6A23"/>
    <w:rsid w:val="000F7DBC"/>
    <w:rsid w:val="001126FD"/>
    <w:rsid w:val="00113915"/>
    <w:rsid w:val="00115EEC"/>
    <w:rsid w:val="001260B7"/>
    <w:rsid w:val="00151C5B"/>
    <w:rsid w:val="00160290"/>
    <w:rsid w:val="00162AF3"/>
    <w:rsid w:val="0016664B"/>
    <w:rsid w:val="00166793"/>
    <w:rsid w:val="0018234A"/>
    <w:rsid w:val="001915A1"/>
    <w:rsid w:val="00193418"/>
    <w:rsid w:val="0019402B"/>
    <w:rsid w:val="00194A83"/>
    <w:rsid w:val="00196EA5"/>
    <w:rsid w:val="001A7FE6"/>
    <w:rsid w:val="001C3F61"/>
    <w:rsid w:val="001D5DB0"/>
    <w:rsid w:val="001F16BE"/>
    <w:rsid w:val="00205B2F"/>
    <w:rsid w:val="00210C67"/>
    <w:rsid w:val="002133E5"/>
    <w:rsid w:val="002163C2"/>
    <w:rsid w:val="0024696A"/>
    <w:rsid w:val="0025370B"/>
    <w:rsid w:val="002B3E65"/>
    <w:rsid w:val="002B76FF"/>
    <w:rsid w:val="002D1E47"/>
    <w:rsid w:val="002E4ABA"/>
    <w:rsid w:val="002F1C73"/>
    <w:rsid w:val="002F2D72"/>
    <w:rsid w:val="002F51AC"/>
    <w:rsid w:val="002F66BD"/>
    <w:rsid w:val="0031037C"/>
    <w:rsid w:val="00325814"/>
    <w:rsid w:val="00331F42"/>
    <w:rsid w:val="00350387"/>
    <w:rsid w:val="00355E41"/>
    <w:rsid w:val="003732C8"/>
    <w:rsid w:val="00380BAA"/>
    <w:rsid w:val="0038382E"/>
    <w:rsid w:val="00383D99"/>
    <w:rsid w:val="00384194"/>
    <w:rsid w:val="00392332"/>
    <w:rsid w:val="00394D6B"/>
    <w:rsid w:val="003A6ED2"/>
    <w:rsid w:val="003B4E51"/>
    <w:rsid w:val="003B7EDC"/>
    <w:rsid w:val="003C384A"/>
    <w:rsid w:val="003C51EF"/>
    <w:rsid w:val="003D4401"/>
    <w:rsid w:val="003E5B09"/>
    <w:rsid w:val="00413897"/>
    <w:rsid w:val="004202D3"/>
    <w:rsid w:val="00422B7F"/>
    <w:rsid w:val="00423C19"/>
    <w:rsid w:val="00436FD6"/>
    <w:rsid w:val="004424E8"/>
    <w:rsid w:val="00466243"/>
    <w:rsid w:val="004875EB"/>
    <w:rsid w:val="004975D5"/>
    <w:rsid w:val="004C1280"/>
    <w:rsid w:val="004C289D"/>
    <w:rsid w:val="004C7E90"/>
    <w:rsid w:val="004D194F"/>
    <w:rsid w:val="004E3CCE"/>
    <w:rsid w:val="004F5E27"/>
    <w:rsid w:val="00513711"/>
    <w:rsid w:val="00527733"/>
    <w:rsid w:val="0053268D"/>
    <w:rsid w:val="00535B87"/>
    <w:rsid w:val="005401F8"/>
    <w:rsid w:val="00597512"/>
    <w:rsid w:val="005C00D0"/>
    <w:rsid w:val="005D4F71"/>
    <w:rsid w:val="006035A6"/>
    <w:rsid w:val="0061433F"/>
    <w:rsid w:val="006734DC"/>
    <w:rsid w:val="0067432C"/>
    <w:rsid w:val="006746CB"/>
    <w:rsid w:val="00676674"/>
    <w:rsid w:val="00677138"/>
    <w:rsid w:val="006835A9"/>
    <w:rsid w:val="00693CB5"/>
    <w:rsid w:val="006B2C08"/>
    <w:rsid w:val="006C09FB"/>
    <w:rsid w:val="006D00BD"/>
    <w:rsid w:val="006D3CEC"/>
    <w:rsid w:val="006D5E62"/>
    <w:rsid w:val="007009FD"/>
    <w:rsid w:val="0070428B"/>
    <w:rsid w:val="00711ACD"/>
    <w:rsid w:val="007254B5"/>
    <w:rsid w:val="00737519"/>
    <w:rsid w:val="00753CD1"/>
    <w:rsid w:val="0076769C"/>
    <w:rsid w:val="00776BF4"/>
    <w:rsid w:val="00781AF0"/>
    <w:rsid w:val="00786EDE"/>
    <w:rsid w:val="007875CD"/>
    <w:rsid w:val="00797A12"/>
    <w:rsid w:val="007A3846"/>
    <w:rsid w:val="007C521C"/>
    <w:rsid w:val="007D12CA"/>
    <w:rsid w:val="007D630F"/>
    <w:rsid w:val="007E0D6B"/>
    <w:rsid w:val="007E6E47"/>
    <w:rsid w:val="007F24D9"/>
    <w:rsid w:val="00816BFD"/>
    <w:rsid w:val="00826C86"/>
    <w:rsid w:val="0083404A"/>
    <w:rsid w:val="008362AB"/>
    <w:rsid w:val="00837548"/>
    <w:rsid w:val="00842B41"/>
    <w:rsid w:val="00850BC8"/>
    <w:rsid w:val="00856599"/>
    <w:rsid w:val="008620AB"/>
    <w:rsid w:val="00863924"/>
    <w:rsid w:val="00882A3F"/>
    <w:rsid w:val="00895FAD"/>
    <w:rsid w:val="008C785B"/>
    <w:rsid w:val="008D2F65"/>
    <w:rsid w:val="008D5377"/>
    <w:rsid w:val="008E45F4"/>
    <w:rsid w:val="008F6730"/>
    <w:rsid w:val="00900A5B"/>
    <w:rsid w:val="00907A37"/>
    <w:rsid w:val="0091028A"/>
    <w:rsid w:val="00911E5D"/>
    <w:rsid w:val="0093613E"/>
    <w:rsid w:val="00975ECA"/>
    <w:rsid w:val="00981E93"/>
    <w:rsid w:val="009A29A7"/>
    <w:rsid w:val="009B1D52"/>
    <w:rsid w:val="009C7CE7"/>
    <w:rsid w:val="009D1883"/>
    <w:rsid w:val="009D21BB"/>
    <w:rsid w:val="009D3286"/>
    <w:rsid w:val="00A30621"/>
    <w:rsid w:val="00A61114"/>
    <w:rsid w:val="00A63D7F"/>
    <w:rsid w:val="00A7381A"/>
    <w:rsid w:val="00A7648E"/>
    <w:rsid w:val="00A8445B"/>
    <w:rsid w:val="00AB6095"/>
    <w:rsid w:val="00AC1C76"/>
    <w:rsid w:val="00AC569D"/>
    <w:rsid w:val="00AF29F9"/>
    <w:rsid w:val="00B01341"/>
    <w:rsid w:val="00B02837"/>
    <w:rsid w:val="00B16BB8"/>
    <w:rsid w:val="00B353E5"/>
    <w:rsid w:val="00B37D99"/>
    <w:rsid w:val="00B51C96"/>
    <w:rsid w:val="00B7406B"/>
    <w:rsid w:val="00B74619"/>
    <w:rsid w:val="00B77050"/>
    <w:rsid w:val="00B82CED"/>
    <w:rsid w:val="00BD78FB"/>
    <w:rsid w:val="00BF2809"/>
    <w:rsid w:val="00C23F52"/>
    <w:rsid w:val="00C258E8"/>
    <w:rsid w:val="00C41533"/>
    <w:rsid w:val="00C56465"/>
    <w:rsid w:val="00C743A3"/>
    <w:rsid w:val="00C92F94"/>
    <w:rsid w:val="00C97E7F"/>
    <w:rsid w:val="00CE0CB9"/>
    <w:rsid w:val="00CF2961"/>
    <w:rsid w:val="00D24639"/>
    <w:rsid w:val="00D32CC0"/>
    <w:rsid w:val="00D330F2"/>
    <w:rsid w:val="00D452C9"/>
    <w:rsid w:val="00D50BEE"/>
    <w:rsid w:val="00D74586"/>
    <w:rsid w:val="00DA002C"/>
    <w:rsid w:val="00DD194E"/>
    <w:rsid w:val="00DE2783"/>
    <w:rsid w:val="00DF0551"/>
    <w:rsid w:val="00E12651"/>
    <w:rsid w:val="00E45A9C"/>
    <w:rsid w:val="00E47AA5"/>
    <w:rsid w:val="00E50D02"/>
    <w:rsid w:val="00E74639"/>
    <w:rsid w:val="00E9659A"/>
    <w:rsid w:val="00EB7745"/>
    <w:rsid w:val="00ED1B47"/>
    <w:rsid w:val="00ED3007"/>
    <w:rsid w:val="00ED4ABB"/>
    <w:rsid w:val="00EE2044"/>
    <w:rsid w:val="00EE7E2A"/>
    <w:rsid w:val="00F0109D"/>
    <w:rsid w:val="00F16E4B"/>
    <w:rsid w:val="00F32DB5"/>
    <w:rsid w:val="00F33B17"/>
    <w:rsid w:val="00F45B42"/>
    <w:rsid w:val="00F75092"/>
    <w:rsid w:val="00F75185"/>
    <w:rsid w:val="00F766DA"/>
    <w:rsid w:val="00F82699"/>
    <w:rsid w:val="00FA1409"/>
    <w:rsid w:val="00FA2A6F"/>
    <w:rsid w:val="00FB0628"/>
    <w:rsid w:val="00FB698D"/>
    <w:rsid w:val="00FF1217"/>
    <w:rsid w:val="00FF61CA"/>
    <w:rsid w:val="03A20207"/>
    <w:rsid w:val="08C77405"/>
    <w:rsid w:val="09E67744"/>
    <w:rsid w:val="0CCD460E"/>
    <w:rsid w:val="0D36072D"/>
    <w:rsid w:val="1444244B"/>
    <w:rsid w:val="14EA645D"/>
    <w:rsid w:val="168D6FF6"/>
    <w:rsid w:val="19181A3A"/>
    <w:rsid w:val="225D796E"/>
    <w:rsid w:val="24EC6623"/>
    <w:rsid w:val="272817B6"/>
    <w:rsid w:val="2BBD3669"/>
    <w:rsid w:val="2E16582B"/>
    <w:rsid w:val="2E4116FA"/>
    <w:rsid w:val="31262BAF"/>
    <w:rsid w:val="330F093A"/>
    <w:rsid w:val="34E37CA8"/>
    <w:rsid w:val="359E47FF"/>
    <w:rsid w:val="35B72FCB"/>
    <w:rsid w:val="35DA3E68"/>
    <w:rsid w:val="379A3E49"/>
    <w:rsid w:val="391E61C3"/>
    <w:rsid w:val="3CAE210E"/>
    <w:rsid w:val="3F3D735A"/>
    <w:rsid w:val="3F8C7B87"/>
    <w:rsid w:val="40D519B8"/>
    <w:rsid w:val="416D2207"/>
    <w:rsid w:val="430E67A3"/>
    <w:rsid w:val="43EC12FF"/>
    <w:rsid w:val="44366C11"/>
    <w:rsid w:val="44E509D4"/>
    <w:rsid w:val="467519C6"/>
    <w:rsid w:val="4A354B39"/>
    <w:rsid w:val="4ADD1BA1"/>
    <w:rsid w:val="4B0853C3"/>
    <w:rsid w:val="4C641897"/>
    <w:rsid w:val="4DC0511E"/>
    <w:rsid w:val="4E7C39E4"/>
    <w:rsid w:val="4FAC5BC3"/>
    <w:rsid w:val="4FC61FF0"/>
    <w:rsid w:val="50846203"/>
    <w:rsid w:val="53487DC7"/>
    <w:rsid w:val="538763B9"/>
    <w:rsid w:val="540463E4"/>
    <w:rsid w:val="55DC546E"/>
    <w:rsid w:val="579C3951"/>
    <w:rsid w:val="57F90679"/>
    <w:rsid w:val="596D6B7C"/>
    <w:rsid w:val="5CEC747F"/>
    <w:rsid w:val="5F865544"/>
    <w:rsid w:val="66202ABE"/>
    <w:rsid w:val="66441755"/>
    <w:rsid w:val="66CF713B"/>
    <w:rsid w:val="683F6E19"/>
    <w:rsid w:val="685C5747"/>
    <w:rsid w:val="68961ACE"/>
    <w:rsid w:val="6AE467D8"/>
    <w:rsid w:val="6D9745DB"/>
    <w:rsid w:val="726141AB"/>
    <w:rsid w:val="7406451D"/>
    <w:rsid w:val="756A3232"/>
    <w:rsid w:val="76935E60"/>
    <w:rsid w:val="77DF544D"/>
    <w:rsid w:val="783458C3"/>
    <w:rsid w:val="7A1E0C67"/>
    <w:rsid w:val="7A3A405E"/>
    <w:rsid w:val="7B044DE1"/>
    <w:rsid w:val="7B4B547D"/>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0"/>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annotation text"/>
    <w:basedOn w:val="1"/>
    <w:link w:val="16"/>
    <w:qFormat/>
    <w:uiPriority w:val="0"/>
    <w:pPr>
      <w:jc w:val="left"/>
    </w:pPr>
    <w:rPr>
      <w:rFonts w:ascii="Calibri" w:hAnsi="Calibri"/>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character" w:styleId="13">
    <w:name w:val="FollowedHyperlink"/>
    <w:basedOn w:val="12"/>
    <w:unhideWhenUsed/>
    <w:qFormat/>
    <w:uiPriority w:val="99"/>
    <w:rPr>
      <w:color w:val="800080"/>
      <w:u w:val="single"/>
    </w:rPr>
  </w:style>
  <w:style w:type="character" w:styleId="14">
    <w:name w:val="Hyperlink"/>
    <w:basedOn w:val="12"/>
    <w:unhideWhenUsed/>
    <w:qFormat/>
    <w:uiPriority w:val="99"/>
    <w:rPr>
      <w:color w:val="0000FF"/>
      <w:u w:val="single"/>
    </w:rPr>
  </w:style>
  <w:style w:type="character" w:customStyle="1" w:styleId="15">
    <w:name w:val="正文文本 Char"/>
    <w:basedOn w:val="12"/>
    <w:link w:val="2"/>
    <w:qFormat/>
    <w:uiPriority w:val="99"/>
    <w:rPr>
      <w:rFonts w:ascii="Times New Roman" w:hAnsi="Times New Roman" w:cs="Times New Roman"/>
      <w:kern w:val="2"/>
      <w:sz w:val="21"/>
    </w:rPr>
  </w:style>
  <w:style w:type="character" w:customStyle="1" w:styleId="16">
    <w:name w:val="批注文字 Char"/>
    <w:basedOn w:val="12"/>
    <w:link w:val="5"/>
    <w:qFormat/>
    <w:uiPriority w:val="0"/>
    <w:rPr>
      <w:rFonts w:cs="Times New Roman"/>
      <w:kern w:val="2"/>
      <w:sz w:val="21"/>
    </w:rPr>
  </w:style>
  <w:style w:type="paragraph" w:customStyle="1" w:styleId="17">
    <w:name w:val="列出段落11"/>
    <w:basedOn w:val="1"/>
    <w:qFormat/>
    <w:uiPriority w:val="99"/>
    <w:pPr>
      <w:ind w:firstLine="420" w:firstLineChars="200"/>
    </w:pPr>
  </w:style>
  <w:style w:type="paragraph" w:customStyle="1" w:styleId="18">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列出段落1"/>
    <w:basedOn w:val="1"/>
    <w:qFormat/>
    <w:uiPriority w:val="34"/>
    <w:pPr>
      <w:ind w:firstLine="420" w:firstLineChars="200"/>
    </w:pPr>
  </w:style>
  <w:style w:type="character" w:customStyle="1" w:styleId="20">
    <w:name w:val="标题 1 Char"/>
    <w:basedOn w:val="12"/>
    <w:link w:val="4"/>
    <w:qFormat/>
    <w:uiPriority w:val="99"/>
    <w:rPr>
      <w:rFonts w:cs="Times New Roman"/>
      <w:kern w:val="44"/>
      <w:sz w:val="44"/>
    </w:rPr>
  </w:style>
  <w:style w:type="paragraph" w:customStyle="1" w:styleId="21">
    <w:name w:val="font5"/>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2E4F3-74F5-4191-AC1E-28C15DC12CA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1698</Words>
  <Characters>9685</Characters>
  <Lines>80</Lines>
  <Paragraphs>22</Paragraphs>
  <TotalTime>1</TotalTime>
  <ScaleCrop>false</ScaleCrop>
  <LinksUpToDate>false</LinksUpToDate>
  <CharactersWithSpaces>11361</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邵蕾✨</cp:lastModifiedBy>
  <cp:lastPrinted>2023-06-09T07:23:00Z</cp:lastPrinted>
  <dcterms:modified xsi:type="dcterms:W3CDTF">2023-12-12T03:12:20Z</dcterms:modified>
  <dc:title>镇江海纳川物流产业发展有限责任公司</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927A3A0D6DA24FB7B98F0153BF1729C9_13</vt:lpwstr>
  </property>
</Properties>
</file>