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numPr>
          <w:ilvl w:val="0"/>
          <w:numId w:val="1"/>
        </w:num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招标概况</w:t>
      </w:r>
      <w:bookmarkStart w:id="0" w:name="_GoBack"/>
      <w:bookmarkEnd w:id="0"/>
    </w:p>
    <w:p>
      <w:pPr>
        <w:spacing w:line="600" w:lineRule="exact"/>
        <w:ind w:firstLine="640" w:firstLineChars="200"/>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2024年度法兰、阀门框架协议采购</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通知送货后20天内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2023年12月21日下午3:30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2023年12月21日下午3:30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所供产品应符合安全技术规范要求和</w:t>
      </w:r>
      <w:r>
        <w:rPr>
          <w:rFonts w:hint="eastAsia" w:ascii="方正仿宋简体" w:hAnsi="方正仿宋简体" w:eastAsia="方正仿宋简体" w:cs="方正仿宋简体"/>
          <w:b/>
          <w:color w:val="FF0000"/>
          <w:sz w:val="32"/>
          <w:szCs w:val="32"/>
        </w:rPr>
        <w:t>化工部技术标准</w:t>
      </w:r>
      <w:r>
        <w:rPr>
          <w:rFonts w:hint="eastAsia" w:ascii="方正仿宋简体" w:hAnsi="方正仿宋简体" w:eastAsia="方正仿宋简体" w:cs="方正仿宋简体"/>
          <w:sz w:val="32"/>
          <w:szCs w:val="32"/>
        </w:rPr>
        <w:t>。</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1.《营业执照》、《税务登记证》、《组织机构代码证》（或三证合一）（复印件</w:t>
      </w:r>
      <w:r>
        <w:rPr>
          <w:rFonts w:hint="eastAsia" w:ascii="方正仿宋简体" w:hAnsi="方正仿宋简体" w:eastAsia="方正仿宋简体" w:cs="方正仿宋简体"/>
          <w:kern w:val="1"/>
          <w:sz w:val="32"/>
          <w:szCs w:val="32"/>
          <w:u w:val="single"/>
        </w:rPr>
        <w:t>需盖公章）。</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keepNext w:val="0"/>
        <w:keepLines w:val="0"/>
        <w:pageBreakBefore w:val="0"/>
        <w:widowControl w:val="0"/>
        <w:kinsoku/>
        <w:overflowPunct/>
        <w:topLinePunct w:val="0"/>
        <w:autoSpaceDE/>
        <w:autoSpaceDN/>
        <w:bidi w:val="0"/>
        <w:spacing w:after="0" w:line="600" w:lineRule="exact"/>
        <w:textAlignment w:val="auto"/>
        <w:rPr>
          <w:rFonts w:ascii="方正仿宋简体" w:hAnsi="方正仿宋简体" w:eastAsia="方正仿宋简体" w:cs="方正仿宋简体"/>
          <w:bCs/>
          <w:color w:val="FF0000"/>
          <w:sz w:val="30"/>
          <w:szCs w:val="30"/>
        </w:rPr>
      </w:pPr>
      <w:r>
        <w:rPr>
          <w:rFonts w:hint="eastAsia"/>
        </w:rPr>
        <w:t xml:space="preserve"> </w:t>
      </w:r>
      <w: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投标人需认真核算货物的单价，发现明显存在恶性竞争、有串通等扰乱我方经营秩序的恶劣情况，</w:t>
      </w:r>
      <w:r>
        <w:rPr>
          <w:rFonts w:hint="eastAsia" w:ascii="方正仿宋简体" w:hAnsi="方正仿宋简体" w:eastAsia="方正仿宋简体" w:cs="方正仿宋简体"/>
          <w:b/>
          <w:bCs w:val="0"/>
          <w:color w:val="FF0000"/>
          <w:sz w:val="32"/>
          <w:szCs w:val="32"/>
        </w:rPr>
        <w:t>一律按废标处理</w:t>
      </w:r>
      <w:r>
        <w:rPr>
          <w:rFonts w:hint="eastAsia" w:ascii="方正仿宋简体" w:hAnsi="方正仿宋简体" w:eastAsia="方正仿宋简体" w:cs="方正仿宋简体"/>
          <w:bCs/>
          <w:sz w:val="32"/>
          <w:szCs w:val="32"/>
        </w:rPr>
        <w:t>。</w:t>
      </w:r>
    </w:p>
    <w:p>
      <w:pPr>
        <w:pStyle w:val="3"/>
        <w:keepNext w:val="0"/>
        <w:keepLines w:val="0"/>
        <w:pageBreakBefore w:val="0"/>
        <w:widowControl w:val="0"/>
        <w:kinsoku/>
        <w:overflowPunct/>
        <w:topLinePunct w:val="0"/>
        <w:autoSpaceDE/>
        <w:autoSpaceDN/>
        <w:bidi w:val="0"/>
        <w:spacing w:line="600" w:lineRule="exact"/>
        <w:textAlignment w:val="auto"/>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keepNext w:val="0"/>
        <w:keepLines w:val="0"/>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
      <w:pPr>
        <w:pStyle w:val="4"/>
        <w:rPr>
          <w:rFonts w:ascii="方正小标宋简体" w:hAnsi="方正小标宋简体" w:eastAsia="方正小标宋简体" w:cs="方正小标宋简体"/>
          <w:szCs w:val="44"/>
        </w:rPr>
      </w:pPr>
    </w:p>
    <w:p>
      <w:pPr>
        <w:pStyle w:val="4"/>
        <w:rPr>
          <w:rFonts w:ascii="方正小标宋简体" w:hAnsi="方正小标宋简体" w:eastAsia="方正小标宋简体" w:cs="方正小标宋简体"/>
          <w:szCs w:val="44"/>
        </w:rPr>
      </w:pPr>
    </w:p>
    <w:p>
      <w:pPr>
        <w:pStyle w:val="4"/>
        <w:rPr>
          <w:rFonts w:ascii="方正小标宋简体" w:hAnsi="方正小标宋简体" w:eastAsia="方正小标宋简体" w:cs="方正小标宋简体"/>
          <w:szCs w:val="44"/>
        </w:rPr>
      </w:pPr>
    </w:p>
    <w:p>
      <w:pPr>
        <w:pStyle w:val="4"/>
        <w:rPr>
          <w:rFonts w:ascii="方正小标宋简体" w:hAnsi="方正小标宋简体" w:eastAsia="方正小标宋简体" w:cs="方正小标宋简体"/>
          <w:szCs w:val="44"/>
        </w:rPr>
      </w:pPr>
    </w:p>
    <w:p>
      <w:pPr>
        <w:pStyle w:val="4"/>
        <w:rPr>
          <w:rFonts w:ascii="方正小标宋简体" w:hAnsi="方正小标宋简体" w:eastAsia="方正小标宋简体" w:cs="方正小标宋简体"/>
          <w:szCs w:val="44"/>
        </w:rPr>
      </w:pPr>
    </w:p>
    <w:p/>
    <w:p>
      <w:pPr>
        <w:pStyle w:val="2"/>
      </w:pPr>
    </w:p>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40" w:type="dxa"/>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853" w:type="dxa"/>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4540" w:type="dxa"/>
            <w:vAlign w:val="center"/>
          </w:tcPr>
          <w:p>
            <w:pPr>
              <w:spacing w:line="360" w:lineRule="auto"/>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2024年度法兰、阀门框架协议采购</w:t>
            </w:r>
          </w:p>
        </w:tc>
        <w:tc>
          <w:tcPr>
            <w:tcW w:w="3853" w:type="dxa"/>
            <w:vAlign w:val="center"/>
          </w:tcPr>
          <w:p>
            <w:pPr>
              <w:spacing w:line="360" w:lineRule="auto"/>
              <w:ind w:firstLine="480" w:firstLineChars="200"/>
              <w:jc w:val="center"/>
              <w:rPr>
                <w:rFonts w:hint="eastAsia" w:ascii="方正仿宋简体" w:hAnsi="方正仿宋简体" w:eastAsia="方正仿宋简体" w:cs="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40" w:type="dxa"/>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853" w:type="dxa"/>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rPr>
          <w:rFonts w:hint="eastAsia" w:ascii="方正小标宋简体" w:hAnsi="宋体" w:eastAsia="方正小标宋简体" w:cs="宋体"/>
          <w:sz w:val="32"/>
          <w:szCs w:val="32"/>
          <w:lang w:eastAsia="zh-CN"/>
        </w:rPr>
      </w:pPr>
      <w:r>
        <w:rPr>
          <w:rFonts w:hint="eastAsia" w:ascii="方正小标宋简体" w:hAnsi="宋体" w:eastAsia="方正小标宋简体" w:cs="宋体"/>
          <w:sz w:val="32"/>
          <w:szCs w:val="32"/>
        </w:rPr>
        <w:t>附件1</w:t>
      </w:r>
      <w:r>
        <w:rPr>
          <w:rFonts w:hint="eastAsia" w:ascii="方正小标宋简体" w:hAnsi="宋体" w:eastAsia="方正小标宋简体" w:cs="宋体"/>
          <w:sz w:val="32"/>
          <w:szCs w:val="32"/>
          <w:lang w:eastAsia="zh-CN"/>
        </w:rPr>
        <w:t>：</w:t>
      </w:r>
    </w:p>
    <w:tbl>
      <w:tblPr>
        <w:tblStyle w:val="11"/>
        <w:tblW w:w="5651"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898"/>
        <w:gridCol w:w="2327"/>
        <w:gridCol w:w="1560"/>
        <w:gridCol w:w="570"/>
        <w:gridCol w:w="886"/>
        <w:gridCol w:w="93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000" w:type="pct"/>
            <w:gridSpan w:val="8"/>
            <w:shd w:val="clear" w:color="auto" w:fill="auto"/>
            <w:vAlign w:val="center"/>
          </w:tcPr>
          <w:p>
            <w:pPr>
              <w:widowControl/>
              <w:spacing w:line="0" w:lineRule="atLeast"/>
              <w:jc w:val="center"/>
              <w:rPr>
                <w:rFonts w:ascii="宋体" w:hAnsi="宋体" w:cs="宋体"/>
                <w:b/>
                <w:bCs/>
                <w:kern w:val="0"/>
                <w:sz w:val="32"/>
                <w:szCs w:val="32"/>
              </w:rPr>
            </w:pPr>
            <w:r>
              <w:rPr>
                <w:rFonts w:hint="eastAsia" w:ascii="宋体" w:hAnsi="宋体" w:cs="宋体"/>
                <w:b/>
                <w:bCs/>
                <w:kern w:val="0"/>
                <w:sz w:val="32"/>
                <w:szCs w:val="32"/>
              </w:rPr>
              <w:t xml:space="preserve">2024年度法兰、阀门框架协议采购报价明细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8"/>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报价货币：人民币(元)</w:t>
            </w:r>
            <w:r>
              <w:rPr>
                <w:rFonts w:hint="eastAsia" w:ascii="宋体" w:hAnsi="宋体" w:cs="宋体"/>
                <w:b/>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序号</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标的名称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规格型号</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物料描述</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单位</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年预                估用量</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单价</w:t>
            </w:r>
            <w:r>
              <w:rPr>
                <w:rFonts w:hint="eastAsia" w:ascii="宋体" w:hAnsi="宋体" w:cs="宋体"/>
                <w:kern w:val="0"/>
                <w:sz w:val="18"/>
                <w:szCs w:val="18"/>
              </w:rPr>
              <w:br w:type="textWrapping"/>
            </w:r>
            <w:r>
              <w:rPr>
                <w:rFonts w:hint="eastAsia" w:ascii="宋体" w:hAnsi="宋体" w:cs="宋体"/>
                <w:kern w:val="0"/>
                <w:sz w:val="18"/>
                <w:szCs w:val="18"/>
              </w:rPr>
              <w:t>（含税）</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总价</w:t>
            </w:r>
            <w:r>
              <w:rPr>
                <w:rFonts w:hint="eastAsia" w:ascii="宋体" w:hAnsi="宋体" w:cs="宋体"/>
                <w:kern w:val="0"/>
                <w:sz w:val="18"/>
                <w:szCs w:val="18"/>
              </w:rPr>
              <w:br w:type="textWrapping"/>
            </w:r>
            <w:r>
              <w:rPr>
                <w:rFonts w:hint="eastAsia" w:ascii="宋体" w:hAnsi="宋体" w:cs="宋体"/>
                <w:kern w:val="0"/>
                <w:sz w:val="18"/>
                <w:szCs w:val="1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DN32 PN16 20#</w:t>
            </w:r>
          </w:p>
        </w:tc>
        <w:tc>
          <w:tcPr>
            <w:tcW w:w="810" w:type="pct"/>
            <w:shd w:val="clear" w:color="auto" w:fill="auto"/>
            <w:vAlign w:val="bottom"/>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DN40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DN65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DN125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DN300 PN16 20#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PN20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        20#</w:t>
            </w:r>
          </w:p>
        </w:tc>
        <w:tc>
          <w:tcPr>
            <w:tcW w:w="810" w:type="pct"/>
            <w:shd w:val="clear" w:color="auto" w:fill="auto"/>
            <w:vAlign w:val="center"/>
          </w:tcPr>
          <w:p>
            <w:pPr>
              <w:widowControl/>
              <w:spacing w:line="0" w:lineRule="atLeast"/>
              <w:jc w:val="left"/>
              <w:rPr>
                <w:rFonts w:ascii="宋体" w:hAnsi="宋体" w:cs="宋体"/>
                <w:kern w:val="0"/>
                <w:sz w:val="18"/>
                <w:szCs w:val="18"/>
              </w:rPr>
            </w:pP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8" 150LB      20#</w:t>
            </w:r>
          </w:p>
        </w:tc>
        <w:tc>
          <w:tcPr>
            <w:tcW w:w="810" w:type="pct"/>
            <w:shd w:val="clear" w:color="auto" w:fill="auto"/>
            <w:vAlign w:val="center"/>
          </w:tcPr>
          <w:p>
            <w:pPr>
              <w:widowControl/>
              <w:spacing w:line="0" w:lineRule="atLeast"/>
              <w:jc w:val="left"/>
              <w:rPr>
                <w:rFonts w:ascii="宋体" w:hAnsi="宋体" w:cs="宋体"/>
                <w:kern w:val="0"/>
                <w:sz w:val="18"/>
                <w:szCs w:val="18"/>
              </w:rPr>
            </w:pP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PN16 304</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PN16 304</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PN16 304</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PN16 304</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   304</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DN32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DN40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DN65 PN16 304L</w:t>
            </w:r>
          </w:p>
        </w:tc>
        <w:tc>
          <w:tcPr>
            <w:tcW w:w="810" w:type="pct"/>
            <w:shd w:val="clear" w:color="auto" w:fill="auto"/>
            <w:vAlign w:val="center"/>
          </w:tcPr>
          <w:p>
            <w:pPr>
              <w:widowControl/>
              <w:spacing w:line="0" w:lineRule="atLeast"/>
              <w:jc w:val="left"/>
              <w:rPr>
                <w:rFonts w:ascii="宋体" w:hAnsi="宋体" w:cs="宋体"/>
                <w:kern w:val="0"/>
                <w:sz w:val="18"/>
                <w:szCs w:val="18"/>
              </w:rPr>
            </w:pP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2 </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不锈钢高颈法兰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PN16 304L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PN16 304L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DN250 PN16 304L</w:t>
            </w:r>
          </w:p>
        </w:tc>
        <w:tc>
          <w:tcPr>
            <w:tcW w:w="810" w:type="pct"/>
            <w:shd w:val="clear" w:color="auto" w:fill="auto"/>
            <w:vAlign w:val="center"/>
          </w:tcPr>
          <w:p>
            <w:pPr>
              <w:widowControl/>
              <w:spacing w:line="0" w:lineRule="atLeast"/>
              <w:jc w:val="left"/>
              <w:rPr>
                <w:rFonts w:ascii="宋体" w:hAnsi="宋体" w:cs="宋体"/>
                <w:kern w:val="0"/>
                <w:sz w:val="18"/>
                <w:szCs w:val="18"/>
              </w:rPr>
            </w:pP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PN20 304L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DN250 PN20 304L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300LB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8" 150Lb 316L</w:t>
            </w:r>
          </w:p>
        </w:tc>
        <w:tc>
          <w:tcPr>
            <w:tcW w:w="810" w:type="pct"/>
            <w:shd w:val="clear" w:color="auto" w:fill="auto"/>
            <w:vAlign w:val="center"/>
          </w:tcPr>
          <w:p>
            <w:pPr>
              <w:widowControl/>
              <w:spacing w:line="0" w:lineRule="atLeast"/>
              <w:jc w:val="left"/>
              <w:rPr>
                <w:rFonts w:ascii="宋体" w:hAnsi="宋体" w:cs="宋体"/>
                <w:kern w:val="0"/>
                <w:sz w:val="18"/>
                <w:szCs w:val="18"/>
              </w:rPr>
            </w:pP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DN40 PN16 316L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DN65 PN16 316L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PN16 316L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DN25 316L PN40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DN80 316L PN40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不锈钢高颈法兰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PN40 316L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10" Sch20s 316L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不锈钢活套法兰及内部短管</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316</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套</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不锈钢活套法兰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1/2" 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不锈钢活套法兰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不锈钢绝缘法兰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PN16 304</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不锈钢绝缘法兰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PN16 316</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法兰盖BL-RF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法兰盖BL-RF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带颈平焊法兰 SO-RF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带颈平焊法兰SO-RF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带颈平焊法兰 SO-RF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带颈平焊法兰 SO-RF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不锈钢法兰盖RF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316</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不锈钢法兰盖RF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  316</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平焊法兰</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304</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PN16 碳钢</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介质乙醇</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PN20 碳钢</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介质甲醇</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DN15</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DN25</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75</w:t>
            </w:r>
          </w:p>
        </w:tc>
        <w:tc>
          <w:tcPr>
            <w:tcW w:w="985"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DN32</w:t>
            </w:r>
          </w:p>
        </w:tc>
        <w:tc>
          <w:tcPr>
            <w:tcW w:w="810"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76</w:t>
            </w:r>
          </w:p>
        </w:tc>
        <w:tc>
          <w:tcPr>
            <w:tcW w:w="985"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DN40</w:t>
            </w:r>
          </w:p>
        </w:tc>
        <w:tc>
          <w:tcPr>
            <w:tcW w:w="810"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77</w:t>
            </w:r>
          </w:p>
        </w:tc>
        <w:tc>
          <w:tcPr>
            <w:tcW w:w="985"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DN50</w:t>
            </w:r>
          </w:p>
        </w:tc>
        <w:tc>
          <w:tcPr>
            <w:tcW w:w="810" w:type="pct"/>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DN65</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DN80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J41H-16C DN100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PN4.0 304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J41W-40P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DN65 PN64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J41W-64P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1/2" 150LB 304L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J41W-150LB</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不锈钢截止阀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J41W-150LBRL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碳钢球阀（RF）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150lb</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3"150lb QWCBAPI</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RF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RF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 RF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不锈钢法兰式球阀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PN16 304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Q41F-16P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PN16 304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Q41F-16P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6分 150LB RF 304</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RF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RF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1/2"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3/4"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11/2"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 150LB 316L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DN25 316L PN40</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Q41F-40RL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不锈钢球阀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DN80 316L PN40</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Q41F-40RL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五阀组</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仪表用 PN16.DN5  316</w:t>
            </w:r>
          </w:p>
        </w:tc>
        <w:tc>
          <w:tcPr>
            <w:tcW w:w="810" w:type="pct"/>
            <w:shd w:val="clear" w:color="000000"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角阀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4分304</w:t>
            </w:r>
          </w:p>
        </w:tc>
        <w:tc>
          <w:tcPr>
            <w:tcW w:w="810" w:type="pct"/>
            <w:shd w:val="clear" w:color="000000"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对夹式蝶阀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PN10</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D373H-10C-DN150</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闸阀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PN16   明杆</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Z41H-16C-DN150</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闸阀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Z41T-10 DN50</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碳钢闸阀（RF）</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6"150lb</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Z41H-150LBC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闸阀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PN16</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承插焊闸阀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 SWφ22(≤PN63)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不锈钢法兰止回阀（水平）</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不锈钢止回阀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304L</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H44W-150LBRL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不锈钢止回阀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6″150LB 316L</w:t>
            </w:r>
          </w:p>
        </w:tc>
        <w:tc>
          <w:tcPr>
            <w:tcW w:w="810" w:type="pct"/>
            <w:shd w:val="clear" w:color="000000" w:fill="auto"/>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H44W-150LBRL</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不锈钢止回阀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H44W-16P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不锈钢止回阀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H44W-16P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疏水阀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 PN16</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CS41H-16C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疏水阀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 PN16  法兰式</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CS41H-16C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疏水阀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法兰式</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CS41H-16C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疏水阀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DN32 PN16  法兰式</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CS41H-16C</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圆盘式法兰疏水阀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温度≤200℃</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CS49H-1.6Z</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圆盘式法兰疏水阀</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温度≤200℃</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CS49H-1.6Z</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疏水器</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CS41Y-16C DN25 PN16</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疏水器</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CS41Y-16C  DN50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视盅</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150lb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SG/BL-150LBP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套</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视盅</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304</w:t>
            </w:r>
          </w:p>
        </w:tc>
        <w:tc>
          <w:tcPr>
            <w:tcW w:w="810" w:type="pct"/>
            <w:shd w:val="clear" w:color="000000"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SG/BL-150LBP</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套</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300LB</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1.5” 300LB</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300LB</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 300LB</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300LB</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DN32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DN40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DN65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DN125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DN250 PN16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碳钢盲板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DN300 PN50 20#</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8〞 150LB 20#</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PN16</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xml:space="preserve">DN150 PN16 </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DN250 PN16</w:t>
            </w:r>
          </w:p>
        </w:tc>
        <w:tc>
          <w:tcPr>
            <w:tcW w:w="810" w:type="pct"/>
            <w:shd w:val="clear" w:color="auto" w:fill="auto"/>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xml:space="preserve">3" 150LB </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304</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DN32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DN40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163</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DN50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164</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DN65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165</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DN80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166</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DN100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167</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DN150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168</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DN200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169</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DN250 PN16 304L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170</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4〞150LB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171</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8" 150LB 304L</w:t>
            </w:r>
          </w:p>
        </w:tc>
        <w:tc>
          <w:tcPr>
            <w:tcW w:w="81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172</w:t>
            </w:r>
          </w:p>
        </w:tc>
        <w:tc>
          <w:tcPr>
            <w:tcW w:w="985"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不锈钢盲板</w:t>
            </w:r>
          </w:p>
        </w:tc>
        <w:tc>
          <w:tcPr>
            <w:tcW w:w="1208"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 300LB 316L</w:t>
            </w:r>
          </w:p>
        </w:tc>
        <w:tc>
          <w:tcPr>
            <w:tcW w:w="810" w:type="pct"/>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96"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460"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83"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9" w:type="pct"/>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8" w:type="pct"/>
            <w:gridSpan w:val="6"/>
            <w:shd w:val="clear" w:color="auto" w:fill="auto"/>
            <w:vAlign w:val="center"/>
          </w:tcPr>
          <w:p>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982" w:type="pct"/>
            <w:gridSpan w:val="2"/>
            <w:shd w:val="clear" w:color="auto" w:fill="auto"/>
            <w:vAlign w:val="center"/>
          </w:tcPr>
          <w:p>
            <w:pPr>
              <w:widowControl/>
              <w:spacing w:line="0" w:lineRule="atLeas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18" w:type="pct"/>
            <w:gridSpan w:val="6"/>
            <w:shd w:val="clear" w:color="auto" w:fill="auto"/>
            <w:vAlign w:val="center"/>
          </w:tcPr>
          <w:p>
            <w:pPr>
              <w:widowControl/>
              <w:spacing w:line="0" w:lineRule="atLeast"/>
              <w:jc w:val="left"/>
              <w:rPr>
                <w:rFonts w:ascii="宋体" w:hAnsi="宋体" w:cs="宋体"/>
                <w:kern w:val="0"/>
                <w:szCs w:val="21"/>
              </w:rPr>
            </w:pPr>
            <w:r>
              <w:rPr>
                <w:rFonts w:hint="eastAsia" w:ascii="宋体" w:hAnsi="宋体" w:cs="宋体"/>
                <w:kern w:val="0"/>
                <w:szCs w:val="21"/>
              </w:rPr>
              <w:t>交货期：合同签订生效通知送货后**天内</w:t>
            </w:r>
          </w:p>
        </w:tc>
        <w:tc>
          <w:tcPr>
            <w:tcW w:w="982" w:type="pct"/>
            <w:gridSpan w:val="2"/>
            <w:shd w:val="clear" w:color="auto" w:fill="auto"/>
            <w:vAlign w:val="center"/>
          </w:tcPr>
          <w:p>
            <w:pPr>
              <w:widowControl/>
              <w:spacing w:line="0" w:lineRule="atLeast"/>
              <w:jc w:val="left"/>
              <w:rPr>
                <w:rFonts w:ascii="宋体" w:hAnsi="宋体" w:cs="宋体"/>
                <w:kern w:val="0"/>
                <w:sz w:val="18"/>
                <w:szCs w:val="18"/>
              </w:rPr>
            </w:pPr>
          </w:p>
        </w:tc>
      </w:tr>
    </w:tbl>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附件2</w:t>
      </w:r>
      <w:r>
        <w:rPr>
          <w:rFonts w:hint="eastAsia" w:ascii="方正仿宋简体" w:hAnsi="方正仿宋简体" w:eastAsia="方正仿宋简体" w:cs="方正仿宋简体"/>
          <w:kern w:val="1"/>
          <w:lang w:eastAsia="zh-CN"/>
        </w:rPr>
        <w:t>：</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sectPr>
      <w:footerReference r:id="rId3"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北魏楷书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23</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E1027"/>
    <w:multiLevelType w:val="singleLevel"/>
    <w:tmpl w:val="D28E1027"/>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00FF3"/>
    <w:rsid w:val="00004172"/>
    <w:rsid w:val="0002110E"/>
    <w:rsid w:val="00030F87"/>
    <w:rsid w:val="000310BC"/>
    <w:rsid w:val="0003693D"/>
    <w:rsid w:val="00063E06"/>
    <w:rsid w:val="000727B0"/>
    <w:rsid w:val="000A22DB"/>
    <w:rsid w:val="000B4D41"/>
    <w:rsid w:val="000C1845"/>
    <w:rsid w:val="000C23F2"/>
    <w:rsid w:val="000D6A23"/>
    <w:rsid w:val="000F7DBC"/>
    <w:rsid w:val="001126FD"/>
    <w:rsid w:val="00113915"/>
    <w:rsid w:val="00115EEC"/>
    <w:rsid w:val="00116239"/>
    <w:rsid w:val="001260B7"/>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24277"/>
    <w:rsid w:val="0024696A"/>
    <w:rsid w:val="0025713F"/>
    <w:rsid w:val="0029012A"/>
    <w:rsid w:val="002B3E65"/>
    <w:rsid w:val="002F1C73"/>
    <w:rsid w:val="002F51AC"/>
    <w:rsid w:val="002F66BD"/>
    <w:rsid w:val="0031037C"/>
    <w:rsid w:val="00325814"/>
    <w:rsid w:val="00331F42"/>
    <w:rsid w:val="00355E41"/>
    <w:rsid w:val="003732C8"/>
    <w:rsid w:val="00380BAA"/>
    <w:rsid w:val="0038382E"/>
    <w:rsid w:val="00383D99"/>
    <w:rsid w:val="00384194"/>
    <w:rsid w:val="00392332"/>
    <w:rsid w:val="00394D6B"/>
    <w:rsid w:val="003A6ED2"/>
    <w:rsid w:val="003B3618"/>
    <w:rsid w:val="003B4E51"/>
    <w:rsid w:val="003B7EDC"/>
    <w:rsid w:val="003C384A"/>
    <w:rsid w:val="003C51EF"/>
    <w:rsid w:val="003F6282"/>
    <w:rsid w:val="00412299"/>
    <w:rsid w:val="00413897"/>
    <w:rsid w:val="00422B7F"/>
    <w:rsid w:val="00423C19"/>
    <w:rsid w:val="00436FD6"/>
    <w:rsid w:val="004424E8"/>
    <w:rsid w:val="00466243"/>
    <w:rsid w:val="004875EB"/>
    <w:rsid w:val="004975D5"/>
    <w:rsid w:val="004A4AAE"/>
    <w:rsid w:val="004C1280"/>
    <w:rsid w:val="004C289D"/>
    <w:rsid w:val="004C7E90"/>
    <w:rsid w:val="004D194F"/>
    <w:rsid w:val="004E3CCE"/>
    <w:rsid w:val="004F5E27"/>
    <w:rsid w:val="00513711"/>
    <w:rsid w:val="00527733"/>
    <w:rsid w:val="0053268D"/>
    <w:rsid w:val="00535B87"/>
    <w:rsid w:val="00553A0A"/>
    <w:rsid w:val="005666A1"/>
    <w:rsid w:val="0057414E"/>
    <w:rsid w:val="0059186E"/>
    <w:rsid w:val="00597512"/>
    <w:rsid w:val="005A3977"/>
    <w:rsid w:val="005B0561"/>
    <w:rsid w:val="005D4F71"/>
    <w:rsid w:val="005F1775"/>
    <w:rsid w:val="0060044E"/>
    <w:rsid w:val="0061433F"/>
    <w:rsid w:val="006734DC"/>
    <w:rsid w:val="0067432C"/>
    <w:rsid w:val="00676674"/>
    <w:rsid w:val="00677138"/>
    <w:rsid w:val="006835A9"/>
    <w:rsid w:val="00685332"/>
    <w:rsid w:val="00693CB5"/>
    <w:rsid w:val="006B2C08"/>
    <w:rsid w:val="006C09FB"/>
    <w:rsid w:val="006D00BD"/>
    <w:rsid w:val="006D3CEC"/>
    <w:rsid w:val="006D5E62"/>
    <w:rsid w:val="007009FD"/>
    <w:rsid w:val="0070428B"/>
    <w:rsid w:val="00711ACD"/>
    <w:rsid w:val="007254B5"/>
    <w:rsid w:val="00736063"/>
    <w:rsid w:val="00737519"/>
    <w:rsid w:val="00753CD1"/>
    <w:rsid w:val="00781AF0"/>
    <w:rsid w:val="00786EDE"/>
    <w:rsid w:val="007875CD"/>
    <w:rsid w:val="007B0071"/>
    <w:rsid w:val="007D12CA"/>
    <w:rsid w:val="007D5A78"/>
    <w:rsid w:val="007D630F"/>
    <w:rsid w:val="007E0D6B"/>
    <w:rsid w:val="007E3452"/>
    <w:rsid w:val="007E6E47"/>
    <w:rsid w:val="007F24D9"/>
    <w:rsid w:val="00816BFD"/>
    <w:rsid w:val="00826C86"/>
    <w:rsid w:val="0083404A"/>
    <w:rsid w:val="008362AB"/>
    <w:rsid w:val="0083659E"/>
    <w:rsid w:val="00837548"/>
    <w:rsid w:val="00842B41"/>
    <w:rsid w:val="00850BC8"/>
    <w:rsid w:val="00856599"/>
    <w:rsid w:val="008620AB"/>
    <w:rsid w:val="00863924"/>
    <w:rsid w:val="00875DE3"/>
    <w:rsid w:val="00882A3F"/>
    <w:rsid w:val="008C7055"/>
    <w:rsid w:val="008C785B"/>
    <w:rsid w:val="008D2F65"/>
    <w:rsid w:val="008D5377"/>
    <w:rsid w:val="008E45F4"/>
    <w:rsid w:val="008F6730"/>
    <w:rsid w:val="00900A5B"/>
    <w:rsid w:val="009050C1"/>
    <w:rsid w:val="00907A37"/>
    <w:rsid w:val="0091028A"/>
    <w:rsid w:val="00911E5D"/>
    <w:rsid w:val="0093613E"/>
    <w:rsid w:val="00974086"/>
    <w:rsid w:val="00975ECA"/>
    <w:rsid w:val="00981E93"/>
    <w:rsid w:val="0099581F"/>
    <w:rsid w:val="009A29A7"/>
    <w:rsid w:val="009B1D52"/>
    <w:rsid w:val="009C6FA8"/>
    <w:rsid w:val="009C7CE7"/>
    <w:rsid w:val="009D1883"/>
    <w:rsid w:val="009D21BB"/>
    <w:rsid w:val="00A068BD"/>
    <w:rsid w:val="00A171A7"/>
    <w:rsid w:val="00A179A4"/>
    <w:rsid w:val="00A30621"/>
    <w:rsid w:val="00A61114"/>
    <w:rsid w:val="00A63D7F"/>
    <w:rsid w:val="00A7381A"/>
    <w:rsid w:val="00A7648E"/>
    <w:rsid w:val="00A8445B"/>
    <w:rsid w:val="00AA4E94"/>
    <w:rsid w:val="00AB6095"/>
    <w:rsid w:val="00AC569D"/>
    <w:rsid w:val="00AF29F9"/>
    <w:rsid w:val="00B01341"/>
    <w:rsid w:val="00B02837"/>
    <w:rsid w:val="00B353E5"/>
    <w:rsid w:val="00B37D99"/>
    <w:rsid w:val="00B51C96"/>
    <w:rsid w:val="00B734E3"/>
    <w:rsid w:val="00B7406B"/>
    <w:rsid w:val="00B74619"/>
    <w:rsid w:val="00B77050"/>
    <w:rsid w:val="00B82CED"/>
    <w:rsid w:val="00BC7F38"/>
    <w:rsid w:val="00BD78FB"/>
    <w:rsid w:val="00BF2809"/>
    <w:rsid w:val="00C23F52"/>
    <w:rsid w:val="00C258E8"/>
    <w:rsid w:val="00C41533"/>
    <w:rsid w:val="00C56465"/>
    <w:rsid w:val="00C743A3"/>
    <w:rsid w:val="00C92F94"/>
    <w:rsid w:val="00C976BA"/>
    <w:rsid w:val="00C97E7F"/>
    <w:rsid w:val="00CE0CB9"/>
    <w:rsid w:val="00CF2961"/>
    <w:rsid w:val="00D24639"/>
    <w:rsid w:val="00D32CC0"/>
    <w:rsid w:val="00D330F2"/>
    <w:rsid w:val="00D36283"/>
    <w:rsid w:val="00D36F8D"/>
    <w:rsid w:val="00D50BEE"/>
    <w:rsid w:val="00D74586"/>
    <w:rsid w:val="00D85F90"/>
    <w:rsid w:val="00DA002C"/>
    <w:rsid w:val="00DC0128"/>
    <w:rsid w:val="00DD194E"/>
    <w:rsid w:val="00DE2783"/>
    <w:rsid w:val="00DF0551"/>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57F89"/>
    <w:rsid w:val="00F75185"/>
    <w:rsid w:val="00F82699"/>
    <w:rsid w:val="00FA1409"/>
    <w:rsid w:val="00FA2A6F"/>
    <w:rsid w:val="00FB0628"/>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C641897"/>
    <w:rsid w:val="4DC0511E"/>
    <w:rsid w:val="4E7C39E4"/>
    <w:rsid w:val="4FAC5BC3"/>
    <w:rsid w:val="4FC61FF0"/>
    <w:rsid w:val="50846203"/>
    <w:rsid w:val="538763B9"/>
    <w:rsid w:val="540463E4"/>
    <w:rsid w:val="55DC546E"/>
    <w:rsid w:val="56DB31DD"/>
    <w:rsid w:val="579C3951"/>
    <w:rsid w:val="57F90679"/>
    <w:rsid w:val="58005F8D"/>
    <w:rsid w:val="596D6B7C"/>
    <w:rsid w:val="5C13706D"/>
    <w:rsid w:val="5CEC747F"/>
    <w:rsid w:val="66202ABE"/>
    <w:rsid w:val="66441755"/>
    <w:rsid w:val="66CF713B"/>
    <w:rsid w:val="683F6E19"/>
    <w:rsid w:val="68961ACE"/>
    <w:rsid w:val="6AE467D8"/>
    <w:rsid w:val="6D9745DB"/>
    <w:rsid w:val="726141AB"/>
    <w:rsid w:val="7406451D"/>
    <w:rsid w:val="756A3232"/>
    <w:rsid w:val="77DF544D"/>
    <w:rsid w:val="781B2935"/>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6"/>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7"/>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正文文本 Char"/>
    <w:basedOn w:val="12"/>
    <w:link w:val="2"/>
    <w:qFormat/>
    <w:uiPriority w:val="99"/>
    <w:rPr>
      <w:rFonts w:ascii="Times New Roman" w:hAnsi="Times New Roman" w:cs="Times New Roman"/>
      <w:kern w:val="2"/>
      <w:sz w:val="21"/>
    </w:rPr>
  </w:style>
  <w:style w:type="character" w:customStyle="1" w:styleId="16">
    <w:name w:val="标题 1 Char"/>
    <w:basedOn w:val="12"/>
    <w:link w:val="4"/>
    <w:qFormat/>
    <w:uiPriority w:val="99"/>
    <w:rPr>
      <w:rFonts w:cs="Times New Roman"/>
      <w:kern w:val="44"/>
      <w:sz w:val="44"/>
    </w:rPr>
  </w:style>
  <w:style w:type="character" w:customStyle="1" w:styleId="17">
    <w:name w:val="批注文字 Char"/>
    <w:basedOn w:val="12"/>
    <w:link w:val="5"/>
    <w:qFormat/>
    <w:uiPriority w:val="0"/>
    <w:rPr>
      <w:rFonts w:cs="Times New Roman"/>
      <w:kern w:val="2"/>
      <w:sz w:val="21"/>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9C7A4-3091-43E0-B408-E2F990C2C86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2197</Words>
  <Characters>12527</Characters>
  <Lines>104</Lines>
  <Paragraphs>29</Paragraphs>
  <TotalTime>2</TotalTime>
  <ScaleCrop>false</ScaleCrop>
  <LinksUpToDate>false</LinksUpToDate>
  <CharactersWithSpaces>14695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2023-12-11T01:16:00Z</dcterms:created>
  <dc:creator>Administrator</dc:creator>
  <cp:lastModifiedBy>邵蕾✨</cp:lastModifiedBy>
  <cp:lastPrinted>2023-06-09T07:23:00Z</cp:lastPrinted>
  <dcterms:modified xsi:type="dcterms:W3CDTF">2023-12-12T03:15:07Z</dcterms:modified>
  <dc:title>镇江海纳川物流产业发展有限责任公司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