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2024年度不锈钢金属软管框架协议采购</w:t>
      </w:r>
      <w:r>
        <w:rPr>
          <w:rFonts w:hint="eastAsia" w:ascii="方正仿宋简体" w:hAnsi="方正仿宋简体" w:eastAsia="方正仿宋简体" w:cs="方正仿宋简体"/>
          <w:sz w:val="32"/>
          <w:szCs w:val="32"/>
        </w:rPr>
        <w:t>；</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w:t>
      </w:r>
      <w:bookmarkStart w:id="0" w:name="_GoBack"/>
      <w:bookmarkEnd w:id="0"/>
      <w:r>
        <w:rPr>
          <w:rFonts w:hint="eastAsia" w:ascii="方正仿宋简体" w:hAnsi="方正仿宋简体" w:eastAsia="方正仿宋简体" w:cs="方正仿宋简体"/>
          <w:color w:val="FF0000"/>
          <w:sz w:val="30"/>
          <w:szCs w:val="30"/>
        </w:rPr>
        <w:t>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2023年12月26日下午3点整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2023年12月26日下午3点整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600" w:lineRule="exact"/>
        <w:ind w:firstLine="420" w:firstLineChars="200"/>
        <w:rPr>
          <w:rFonts w:ascii="方正仿宋简体" w:hAnsi="方正仿宋简体" w:eastAsia="方正仿宋简体" w:cs="方正仿宋简体"/>
          <w:sz w:val="32"/>
          <w:szCs w:val="32"/>
        </w:rPr>
      </w:pPr>
      <w:r>
        <w:rPr>
          <w:rFonts w:hint="eastAsia"/>
        </w:rPr>
        <w:t xml:space="preserve">   </w:t>
      </w:r>
      <w:r>
        <w:rPr>
          <w:rFonts w:hint="eastAsia" w:ascii="方正仿宋简体" w:hAnsi="方正仿宋简体" w:eastAsia="方正仿宋简体" w:cs="方正仿宋简体"/>
          <w:kern w:val="1"/>
          <w:sz w:val="32"/>
          <w:szCs w:val="32"/>
        </w:rPr>
        <w:t>2.介质为二氧化碳的不锈钢金属软管中标方需</w:t>
      </w:r>
      <w:r>
        <w:rPr>
          <w:rFonts w:hint="eastAsia" w:ascii="方正仿宋简体" w:hAnsi="方正仿宋简体" w:eastAsia="方正仿宋简体" w:cs="方正仿宋简体"/>
          <w:sz w:val="32"/>
          <w:szCs w:val="32"/>
        </w:rPr>
        <w:t>根据移动式压力容器充装要求，提供</w:t>
      </w:r>
      <w:r>
        <w:rPr>
          <w:rFonts w:hint="eastAsia" w:ascii="方正仿宋简体" w:hAnsi="方正仿宋简体" w:eastAsia="方正仿宋简体" w:cs="方正仿宋简体"/>
          <w:kern w:val="1"/>
          <w:sz w:val="32"/>
          <w:szCs w:val="32"/>
        </w:rPr>
        <w:t>不锈钢金属软管</w:t>
      </w:r>
      <w:r>
        <w:rPr>
          <w:rFonts w:hint="eastAsia" w:ascii="方正仿宋简体" w:hAnsi="方正仿宋简体" w:eastAsia="方正仿宋简体" w:cs="方正仿宋简体"/>
          <w:sz w:val="32"/>
          <w:szCs w:val="32"/>
        </w:rPr>
        <w:t>生产厂家出具的</w:t>
      </w:r>
      <w:r>
        <w:rPr>
          <w:rFonts w:hint="eastAsia" w:ascii="方正仿宋简体" w:hAnsi="方正仿宋简体" w:eastAsia="方正仿宋简体" w:cs="方正仿宋简体"/>
          <w:b/>
          <w:color w:val="FF0000"/>
          <w:sz w:val="32"/>
          <w:szCs w:val="32"/>
        </w:rPr>
        <w:t>4倍</w:t>
      </w:r>
      <w:r>
        <w:rPr>
          <w:rFonts w:hint="eastAsia" w:ascii="方正仿宋简体" w:hAnsi="方正仿宋简体" w:eastAsia="方正仿宋简体" w:cs="方正仿宋简体"/>
          <w:b/>
          <w:sz w:val="32"/>
          <w:szCs w:val="32"/>
        </w:rPr>
        <w:t>公称压力爆破试验报告</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4.产品出厂前由招标方决定是否需要进行工厂验收（密封试验、耐压试验等），投标方须配合招标方验收。</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生产厂家（品牌）要求为江苏五星波纹管有限公司、江苏省普洛斯普机械有限公司和江苏博格东进管道设备有限公司。投标人必须注明所供产品的</w:t>
      </w:r>
      <w:r>
        <w:rPr>
          <w:rFonts w:hint="eastAsia" w:ascii="方正仿宋简体" w:hAnsi="方正仿宋简体" w:eastAsia="方正仿宋简体" w:cs="方正仿宋简体"/>
          <w:sz w:val="32"/>
          <w:szCs w:val="32"/>
        </w:rPr>
        <w:t>生产厂家（品牌），</w:t>
      </w:r>
    </w:p>
    <w:p>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jc w:val="left"/>
        <w:rPr>
          <w:color w:val="000000"/>
          <w:sz w:val="18"/>
          <w:szCs w:val="18"/>
        </w:rPr>
      </w:pPr>
      <w:r>
        <w:rPr>
          <w:rFonts w:hint="eastAsia" w:ascii="方正仿宋简体" w:hAnsi="方正仿宋简体" w:eastAsia="方正仿宋简体" w:cs="方正仿宋简体"/>
          <w:sz w:val="32"/>
          <w:szCs w:val="32"/>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投标人为非生产厂家，必须提供标书上要求的生产厂家（品牌）的授权委托书（需生产厂家法人签</w:t>
      </w:r>
      <w:r>
        <w:rPr>
          <w:rFonts w:hint="eastAsia" w:ascii="方正仿宋简体" w:hAnsi="方正仿宋简体" w:eastAsia="方正仿宋简体" w:cs="方正仿宋简体"/>
          <w:bCs/>
          <w:sz w:val="32"/>
          <w:szCs w:val="32"/>
        </w:rPr>
        <w:t>字并加盖生产厂家公章），未提供</w:t>
      </w:r>
      <w:r>
        <w:rPr>
          <w:rFonts w:hint="eastAsia" w:ascii="方正仿宋简体" w:hAnsi="方正仿宋简体" w:eastAsia="方正仿宋简体" w:cs="方正仿宋简体"/>
          <w:bCs/>
          <w:color w:val="FF0000"/>
          <w:sz w:val="32"/>
          <w:szCs w:val="32"/>
        </w:rPr>
        <w:t>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2"/>
        <w:spacing w:after="0"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bCs/>
          <w:color w:val="FF0000"/>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sz w:val="32"/>
          <w:szCs w:val="32"/>
        </w:rPr>
        <w:t>处理。</w:t>
      </w:r>
    </w:p>
    <w:p>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jc w:val="both"/>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3"/>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Spec="center" w:tblpY="272"/>
        <w:tblOverlap w:val="never"/>
        <w:tblW w:w="8252" w:type="dxa"/>
        <w:jc w:val="center"/>
        <w:tblLayout w:type="fixed"/>
        <w:tblCellMar>
          <w:top w:w="0" w:type="dxa"/>
          <w:left w:w="108" w:type="dxa"/>
          <w:bottom w:w="0" w:type="dxa"/>
          <w:right w:w="108" w:type="dxa"/>
        </w:tblCellMar>
      </w:tblPr>
      <w:tblGrid>
        <w:gridCol w:w="4547"/>
        <w:gridCol w:w="3705"/>
      </w:tblGrid>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CellMar>
            <w:top w:w="0" w:type="dxa"/>
            <w:left w:w="108" w:type="dxa"/>
            <w:bottom w:w="0" w:type="dxa"/>
            <w:right w:w="108" w:type="dxa"/>
          </w:tblCellMar>
        </w:tblPrEx>
        <w:trPr>
          <w:trHeight w:val="62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2024年度不锈钢金属软管框架协议采购</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2"/>
      </w:pPr>
    </w:p>
    <w:p>
      <w:pPr>
        <w:pStyle w:val="3"/>
      </w:pPr>
    </w:p>
    <w:p>
      <w:pPr>
        <w:pStyle w:val="3"/>
      </w:pPr>
    </w:p>
    <w:p>
      <w:pPr>
        <w:pStyle w:val="3"/>
      </w:pPr>
    </w:p>
    <w:p>
      <w:pPr>
        <w:rPr>
          <w:rFonts w:ascii="方正小标宋简体" w:hAnsi="宋体" w:eastAsia="方正小标宋简体" w:cs="宋体"/>
          <w:sz w:val="32"/>
          <w:szCs w:val="32"/>
        </w:rPr>
      </w:pPr>
    </w:p>
    <w:p>
      <w:pPr>
        <w:pStyle w:val="2"/>
        <w:rPr>
          <w:rFonts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607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95"/>
        <w:gridCol w:w="1132"/>
        <w:gridCol w:w="3406"/>
        <w:gridCol w:w="424"/>
        <w:gridCol w:w="639"/>
        <w:gridCol w:w="834"/>
        <w:gridCol w:w="92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00" w:type="pct"/>
            <w:gridSpan w:val="9"/>
            <w:shd w:val="clear" w:color="000000" w:fill="FFFFFF"/>
            <w:vAlign w:val="center"/>
          </w:tcPr>
          <w:p>
            <w:pPr>
              <w:widowControl/>
              <w:spacing w:line="0" w:lineRule="atLeast"/>
              <w:jc w:val="center"/>
              <w:rPr>
                <w:rFonts w:ascii="黑体" w:hAnsi="黑体" w:eastAsia="黑体" w:cs="宋体"/>
                <w:kern w:val="0"/>
                <w:sz w:val="36"/>
                <w:szCs w:val="36"/>
              </w:rPr>
            </w:pPr>
            <w:r>
              <w:rPr>
                <w:rFonts w:hint="eastAsia" w:ascii="黑体" w:hAnsi="黑体" w:eastAsia="黑体" w:cs="宋体"/>
                <w:kern w:val="0"/>
                <w:sz w:val="44"/>
                <w:szCs w:val="44"/>
              </w:rPr>
              <w:t>2024年度不锈钢金属软管框架协议采购报价明细</w:t>
            </w:r>
            <w:r>
              <w:rPr>
                <w:rFonts w:hint="eastAsia" w:ascii="黑体" w:hAnsi="黑体" w:eastAsia="黑体" w:cs="宋体"/>
                <w:kern w:val="0"/>
                <w:sz w:val="36"/>
                <w:szCs w:val="36"/>
              </w:rPr>
              <w:t xml:space="preserve">                    </w:t>
            </w:r>
            <w:r>
              <w:rPr>
                <w:rFonts w:hint="eastAsia" w:ascii="黑体" w:hAnsi="黑体" w:eastAsia="黑体" w:cs="宋体"/>
                <w:kern w:val="0"/>
                <w:sz w:val="24"/>
                <w:szCs w:val="24"/>
              </w:rPr>
              <w:t xml:space="preserve">   </w:t>
            </w:r>
            <w:r>
              <w:rPr>
                <w:rFonts w:hint="eastAsia" w:ascii="黑体" w:hAnsi="黑体" w:eastAsia="黑体" w:cs="宋体"/>
                <w:kern w:val="0"/>
                <w:sz w:val="36"/>
                <w:szCs w:val="3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9"/>
            <w:shd w:val="clear" w:color="000000" w:fill="FFFFFF"/>
            <w:vAlign w:val="center"/>
          </w:tcPr>
          <w:p>
            <w:pPr>
              <w:widowControl/>
              <w:spacing w:line="0" w:lineRule="atLeast"/>
              <w:jc w:val="left"/>
              <w:rPr>
                <w:rFonts w:ascii="宋体" w:hAnsi="宋体" w:cs="宋体"/>
                <w:kern w:val="0"/>
                <w:sz w:val="22"/>
                <w:szCs w:val="22"/>
              </w:rPr>
            </w:pPr>
            <w:r>
              <w:rPr>
                <w:rFonts w:hint="eastAsia" w:ascii="宋体" w:hAnsi="宋体" w:cs="宋体"/>
                <w:kern w:val="0"/>
                <w:sz w:val="22"/>
                <w:szCs w:val="22"/>
              </w:rPr>
              <w:t>报价货币：人民币(元)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序号</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标的名称</w:t>
            </w:r>
          </w:p>
        </w:tc>
        <w:tc>
          <w:tcPr>
            <w:tcW w:w="547"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规格型号</w:t>
            </w:r>
          </w:p>
        </w:tc>
        <w:tc>
          <w:tcPr>
            <w:tcW w:w="1645"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物料描述</w:t>
            </w:r>
          </w:p>
        </w:tc>
        <w:tc>
          <w:tcPr>
            <w:tcW w:w="204"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单位</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年预    估用量</w:t>
            </w:r>
          </w:p>
        </w:tc>
        <w:tc>
          <w:tcPr>
            <w:tcW w:w="403"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 单价   （含税）</w:t>
            </w:r>
          </w:p>
        </w:tc>
        <w:tc>
          <w:tcPr>
            <w:tcW w:w="446"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总价 </w:t>
            </w:r>
            <w:r>
              <w:rPr>
                <w:rFonts w:hint="eastAsia" w:ascii="宋体" w:hAnsi="宋体" w:cs="宋体"/>
                <w:kern w:val="0"/>
                <w:sz w:val="20"/>
              </w:rPr>
              <w:br w:type="textWrapping"/>
            </w:r>
            <w:r>
              <w:rPr>
                <w:rFonts w:hint="eastAsia" w:ascii="宋体" w:hAnsi="宋体" w:cs="宋体"/>
                <w:kern w:val="0"/>
                <w:sz w:val="20"/>
              </w:rPr>
              <w:t>（含税）</w:t>
            </w:r>
          </w:p>
        </w:tc>
        <w:tc>
          <w:tcPr>
            <w:tcW w:w="686"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要求生产厂家/品牌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DN200</w:t>
            </w:r>
          </w:p>
        </w:tc>
        <w:tc>
          <w:tcPr>
            <w:tcW w:w="1645" w:type="pct"/>
            <w:shd w:val="clear" w:color="000000" w:fill="FFFFFF"/>
            <w:vAlign w:val="center"/>
          </w:tcPr>
          <w:p>
            <w:pPr>
              <w:spacing w:line="0" w:lineRule="atLeast"/>
              <w:rPr>
                <w:rFonts w:ascii="宋体" w:hAnsi="宋体" w:cs="宋体"/>
                <w:sz w:val="20"/>
              </w:rPr>
            </w:pPr>
            <w:r>
              <w:rPr>
                <w:rFonts w:hint="eastAsia"/>
                <w:sz w:val="20"/>
              </w:rPr>
              <w:t>8米  1.0Mpa 材质:接头法兰、内波纹管、护套、外层编织网均为304；一端为活套平面法兰，另一端为固定平面法兰 外层橡胶护套</w:t>
            </w:r>
          </w:p>
        </w:tc>
        <w:tc>
          <w:tcPr>
            <w:tcW w:w="204"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restart"/>
            <w:shd w:val="clear" w:color="000000" w:fill="FFFFFF"/>
            <w:vAlign w:val="center"/>
          </w:tcPr>
          <w:p>
            <w:pPr>
              <w:spacing w:line="0" w:lineRule="atLeast"/>
              <w:rPr>
                <w:color w:val="000000"/>
                <w:szCs w:val="21"/>
              </w:rPr>
            </w:pPr>
            <w:r>
              <w:rPr>
                <w:rFonts w:hint="eastAsia"/>
                <w:color w:val="000000"/>
                <w:szCs w:val="21"/>
              </w:rPr>
              <w:t>1.</w:t>
            </w:r>
            <w:r>
              <w:rPr>
                <w:color w:val="000000"/>
                <w:szCs w:val="21"/>
              </w:rPr>
              <w:t>江苏五星波纹管有限公司</w:t>
            </w:r>
          </w:p>
          <w:p>
            <w:pPr>
              <w:spacing w:line="0" w:lineRule="atLeast"/>
              <w:rPr>
                <w:color w:val="000000"/>
                <w:szCs w:val="21"/>
              </w:rPr>
            </w:pPr>
            <w:r>
              <w:rPr>
                <w:rFonts w:hint="eastAsia"/>
                <w:color w:val="000000"/>
                <w:szCs w:val="21"/>
              </w:rPr>
              <w:t>2.江苏省普洛斯普机械有限公司</w:t>
            </w:r>
          </w:p>
          <w:p>
            <w:pPr>
              <w:widowControl/>
              <w:spacing w:line="0" w:lineRule="atLeast"/>
              <w:jc w:val="left"/>
              <w:rPr>
                <w:rFonts w:ascii="宋体" w:hAnsi="宋体" w:cs="宋体"/>
                <w:kern w:val="0"/>
                <w:sz w:val="20"/>
              </w:rPr>
            </w:pPr>
            <w:r>
              <w:rPr>
                <w:rFonts w:hint="eastAsia"/>
                <w:color w:val="000000"/>
                <w:szCs w:val="21"/>
              </w:rPr>
              <w:t>3.</w:t>
            </w:r>
            <w:r>
              <w:rPr>
                <w:color w:val="000000"/>
                <w:szCs w:val="21"/>
              </w:rPr>
              <w:t>江苏博格东进管道设备有限公司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sz w:val="20"/>
              </w:rPr>
            </w:pPr>
            <w:r>
              <w:rPr>
                <w:rFonts w:hint="eastAsia"/>
                <w:sz w:val="20"/>
              </w:rPr>
              <w:t>3米  1.0Mpa 材质:接头法兰、内波纹管、护套、外层编织网均为304；一端为活套平面法兰，另一端为固定平面法兰,介质硫酸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w:t>
            </w:r>
          </w:p>
        </w:tc>
        <w:tc>
          <w:tcPr>
            <w:tcW w:w="529" w:type="pct"/>
            <w:shd w:val="clear" w:color="000000" w:fill="FFFFFF"/>
            <w:vAlign w:val="center"/>
          </w:tcPr>
          <w:p>
            <w:pPr>
              <w:widowControl/>
              <w:spacing w:line="0" w:lineRule="atLeast"/>
              <w:jc w:val="left"/>
              <w:rPr>
                <w:rFonts w:ascii="宋体" w:hAnsi="宋体" w:cs="宋体"/>
                <w:kern w:val="0"/>
                <w:sz w:val="20"/>
                <w:highlight w:val="yellow"/>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highlight w:val="yellow"/>
              </w:rPr>
            </w:pPr>
            <w:r>
              <w:rPr>
                <w:rFonts w:hint="eastAsia"/>
                <w:sz w:val="20"/>
              </w:rPr>
              <w:t>DN150</w:t>
            </w:r>
          </w:p>
        </w:tc>
        <w:tc>
          <w:tcPr>
            <w:tcW w:w="1645" w:type="pct"/>
            <w:shd w:val="clear" w:color="000000" w:fill="FFFFFF"/>
            <w:vAlign w:val="center"/>
          </w:tcPr>
          <w:p>
            <w:pPr>
              <w:spacing w:line="0" w:lineRule="atLeast"/>
              <w:rPr>
                <w:rFonts w:ascii="宋体" w:hAnsi="宋体" w:cs="宋体"/>
                <w:sz w:val="20"/>
                <w:highlight w:val="yellow"/>
              </w:rPr>
            </w:pPr>
            <w:r>
              <w:rPr>
                <w:rFonts w:hint="eastAsia"/>
                <w:sz w:val="20"/>
              </w:rPr>
              <w:t>8米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rPr>
                <w:highlight w:val="yellow"/>
              </w:rP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highlight w:val="yellow"/>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10米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12米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10米 介质醋酸，1.0Mpa材质:接头法兰、内波纹管为</w:t>
            </w:r>
            <w:r>
              <w:rPr>
                <w:rFonts w:hint="eastAsia"/>
                <w:b/>
                <w:bCs/>
                <w:color w:val="FF0000"/>
                <w:sz w:val="20"/>
              </w:rPr>
              <w:t>316L</w:t>
            </w:r>
            <w:r>
              <w:rPr>
                <w:rFonts w:hint="eastAsia"/>
                <w:sz w:val="20"/>
              </w:rPr>
              <w:t>，护套、外层编织网为304；一端为活套平面法兰，另一端为固定平面法兰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sz w:val="20"/>
              </w:rPr>
            </w:pPr>
            <w:r>
              <w:rPr>
                <w:rFonts w:hint="eastAsia"/>
                <w:sz w:val="20"/>
              </w:rPr>
              <w:t>10米 介质醋酸，温度常温，材质:接头法兰、内波纹管为</w:t>
            </w:r>
            <w:r>
              <w:rPr>
                <w:rFonts w:hint="eastAsia"/>
                <w:b/>
                <w:bCs/>
                <w:color w:val="FF0000"/>
                <w:sz w:val="20"/>
              </w:rPr>
              <w:t>316L</w:t>
            </w:r>
            <w:r>
              <w:rPr>
                <w:rFonts w:hint="eastAsia"/>
                <w:sz w:val="20"/>
              </w:rPr>
              <w:t>，护套、外层编织网为304；压力：PN16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DN100                   </w:t>
            </w:r>
            <w:r>
              <w:rPr>
                <w:rFonts w:hint="eastAsia"/>
                <w:i/>
                <w:iCs/>
                <w:sz w:val="20"/>
              </w:rPr>
              <w:t xml:space="preserve"> </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12米 介质醋酸，温度常温，</w:t>
            </w:r>
            <w:r>
              <w:rPr>
                <w:rFonts w:hint="eastAsia"/>
                <w:sz w:val="20"/>
              </w:rPr>
              <w:t>材质:接头法兰、内波纹管为</w:t>
            </w:r>
            <w:r>
              <w:rPr>
                <w:rFonts w:hint="eastAsia"/>
                <w:b/>
                <w:bCs/>
                <w:color w:val="FF0000"/>
                <w:sz w:val="20"/>
              </w:rPr>
              <w:t>316L</w:t>
            </w:r>
            <w:r>
              <w:rPr>
                <w:rFonts w:hint="eastAsia"/>
                <w:sz w:val="20"/>
              </w:rPr>
              <w:t>，护套、外层编织网为304；压力：PN16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DN80</w:t>
            </w:r>
          </w:p>
        </w:tc>
        <w:tc>
          <w:tcPr>
            <w:tcW w:w="1645" w:type="pct"/>
            <w:shd w:val="clear" w:color="000000" w:fill="FFFFFF"/>
            <w:vAlign w:val="center"/>
          </w:tcPr>
          <w:p>
            <w:pPr>
              <w:spacing w:line="0" w:lineRule="atLeast"/>
              <w:rPr>
                <w:rFonts w:ascii="宋体" w:hAnsi="宋体" w:cs="宋体"/>
                <w:color w:val="000000"/>
                <w:sz w:val="20"/>
              </w:rPr>
            </w:pPr>
            <w:r>
              <w:rPr>
                <w:rFonts w:hint="eastAsia"/>
                <w:sz w:val="20"/>
              </w:rPr>
              <w:t>3米  介质：</w:t>
            </w:r>
            <w:r>
              <w:rPr>
                <w:rFonts w:hint="eastAsia"/>
                <w:color w:val="FF0000"/>
                <w:sz w:val="20"/>
              </w:rPr>
              <w:t>二氧化碳</w:t>
            </w:r>
            <w:r>
              <w:rPr>
                <w:rFonts w:hint="eastAsia"/>
                <w:sz w:val="20"/>
              </w:rPr>
              <w:t>，温度-25℃ 材质:接头法兰、内波纹管为</w:t>
            </w:r>
            <w:r>
              <w:rPr>
                <w:rFonts w:hint="eastAsia"/>
                <w:b/>
                <w:bCs/>
                <w:color w:val="FF0000"/>
                <w:sz w:val="20"/>
              </w:rPr>
              <w:t>316L</w:t>
            </w:r>
            <w:r>
              <w:rPr>
                <w:rFonts w:hint="eastAsia"/>
                <w:sz w:val="20"/>
              </w:rPr>
              <w:t xml:space="preserve">，护套、外层编织网均为304；4.0Mpa </w:t>
            </w:r>
            <w:r>
              <w:rPr>
                <w:rFonts w:hint="eastAsia"/>
                <w:b/>
                <w:bCs/>
                <w:color w:val="FF0000"/>
                <w:sz w:val="20"/>
              </w:rPr>
              <w:t>爆破</w:t>
            </w:r>
            <w:r>
              <w:rPr>
                <w:rFonts w:hint="eastAsia"/>
                <w:sz w:val="20"/>
              </w:rPr>
              <w:t>压力:PN64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6米  介质：二氧化碳，温度-25℃；材质:接头法兰、内波纹管为</w:t>
            </w:r>
            <w:r>
              <w:rPr>
                <w:rFonts w:hint="eastAsia"/>
                <w:b/>
                <w:bCs/>
                <w:color w:val="FF0000"/>
                <w:sz w:val="20"/>
              </w:rPr>
              <w:t>316L</w:t>
            </w:r>
            <w:r>
              <w:rPr>
                <w:rFonts w:hint="eastAsia"/>
                <w:color w:val="000000"/>
                <w:sz w:val="20"/>
              </w:rPr>
              <w:t xml:space="preserve">，护套、外层编织网为304；4.0Mpa </w:t>
            </w:r>
            <w:r>
              <w:rPr>
                <w:rFonts w:hint="eastAsia"/>
                <w:b/>
                <w:bCs/>
                <w:color w:val="FF0000"/>
                <w:sz w:val="20"/>
              </w:rPr>
              <w:t>爆破</w:t>
            </w:r>
            <w:r>
              <w:rPr>
                <w:rFonts w:hint="eastAsia"/>
                <w:color w:val="000000"/>
                <w:sz w:val="20"/>
              </w:rPr>
              <w:t>压力:PN64 两端接口为内螺纹M60×2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 xml:space="preserve">1.5米介质:生活污水；材质:法兰接头、内波纹管、护套、外层编织网均为304；压力:PN16；一端为活套法兰，另一端为固定法兰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color w:val="000000"/>
                <w:sz w:val="20"/>
              </w:rPr>
            </w:pPr>
            <w:r>
              <w:rPr>
                <w:rFonts w:hint="eastAsia"/>
                <w:sz w:val="20"/>
              </w:rPr>
              <w:t>3米  材质:接头法兰、内波纹管、护套、外层编织网均为304；4.0Mpa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13</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sz w:val="20"/>
              </w:rPr>
              <w:t>4米  介质：二氧化碳，温度-25℃ 材质:接头法兰、内波纹管为</w:t>
            </w:r>
            <w:r>
              <w:rPr>
                <w:rFonts w:hint="eastAsia"/>
                <w:b/>
                <w:bCs/>
                <w:color w:val="FF0000"/>
                <w:sz w:val="20"/>
              </w:rPr>
              <w:t>316L</w:t>
            </w:r>
            <w:r>
              <w:rPr>
                <w:rFonts w:hint="eastAsia"/>
                <w:sz w:val="20"/>
              </w:rPr>
              <w:t xml:space="preserve">，护套、外层编织网均为304；4.0Mpa </w:t>
            </w:r>
            <w:r>
              <w:rPr>
                <w:rFonts w:hint="eastAsia"/>
                <w:b/>
                <w:bCs/>
                <w:sz w:val="20"/>
              </w:rPr>
              <w:t>爆破</w:t>
            </w:r>
            <w:r>
              <w:rPr>
                <w:rFonts w:hint="eastAsia"/>
                <w:sz w:val="20"/>
              </w:rPr>
              <w:t>压力:PN64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sz w:val="20"/>
              </w:rPr>
              <w:t>15米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DN25</w:t>
            </w:r>
          </w:p>
        </w:tc>
        <w:tc>
          <w:tcPr>
            <w:tcW w:w="1645" w:type="pct"/>
            <w:shd w:val="clear" w:color="000000" w:fill="FFFFFF"/>
            <w:vAlign w:val="center"/>
          </w:tcPr>
          <w:p>
            <w:pPr>
              <w:spacing w:line="0" w:lineRule="atLeast"/>
              <w:rPr>
                <w:rFonts w:ascii="宋体" w:hAnsi="宋体" w:cs="宋体"/>
                <w:sz w:val="20"/>
              </w:rPr>
            </w:pPr>
            <w:r>
              <w:rPr>
                <w:rFonts w:hint="eastAsia"/>
                <w:sz w:val="20"/>
              </w:rPr>
              <w:t>3米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DN25</w:t>
            </w:r>
          </w:p>
        </w:tc>
        <w:tc>
          <w:tcPr>
            <w:tcW w:w="1645" w:type="pct"/>
            <w:shd w:val="clear" w:color="000000" w:fill="FFFFFF"/>
            <w:vAlign w:val="center"/>
          </w:tcPr>
          <w:p>
            <w:pPr>
              <w:spacing w:line="0" w:lineRule="atLeast"/>
              <w:rPr>
                <w:rFonts w:ascii="宋体" w:hAnsi="宋体" w:cs="宋体"/>
                <w:sz w:val="20"/>
              </w:rPr>
            </w:pPr>
            <w:r>
              <w:rPr>
                <w:rFonts w:hint="eastAsia"/>
                <w:sz w:val="20"/>
              </w:rPr>
              <w:t>4米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1" </w:t>
            </w:r>
          </w:p>
        </w:tc>
        <w:tc>
          <w:tcPr>
            <w:tcW w:w="1645" w:type="pct"/>
            <w:shd w:val="clear" w:color="000000" w:fill="FFFFFF"/>
            <w:vAlign w:val="center"/>
          </w:tcPr>
          <w:p>
            <w:pPr>
              <w:spacing w:line="0" w:lineRule="atLeast"/>
              <w:rPr>
                <w:rFonts w:ascii="宋体" w:hAnsi="宋体" w:cs="宋体"/>
                <w:sz w:val="20"/>
              </w:rPr>
            </w:pPr>
            <w:r>
              <w:rPr>
                <w:rFonts w:hint="eastAsia"/>
                <w:sz w:val="20"/>
              </w:rPr>
              <w:t>20米  材质:接头法兰、内波纹管、护套、外层编织网均为304； 压力：PN16 一端为活套法兰，另一端为固定法兰 介质：氮气； 用途：吹扫；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20米 材质:接头法兰、内波纹管、护套、外层编织网均为304； 压力：PN16 一端为4"活套法兰 另一端为4"固定法兰 介质：生活污水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20米 材质:接头法兰、内波纹管、护套、外层编织网均为304； 压力：PN16 一端为4"活套法兰 另一端为1"固定法兰 介质：生活污水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20米 材质:接头法兰、内波纹管为316L，护套、外层编织网均为304；压力：PN16 一端为4"活套法兰    另一端为4"固定法兰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3米  材质:接头法兰、内波纹管为316L，护套、外层编织网均为304；压力：PN16 一端为DN100活套法兰 另一端为DN200固定法兰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DN200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2.8米材质:接头法兰、内波纹管为316L，护套、外层编织网均为304；压力：PN16 一端为DN200活套法兰 另一端为DN200固定法兰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23</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8" </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10" </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18"/>
                <w:szCs w:val="18"/>
              </w:rPr>
              <w:t xml:space="preserve">90°弯 DN100 两端活套法兰到垂直管中径长度均为350mm; 介质：消防泡沫 材质：304 压力：PN16 两端均为活套法兰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20"/>
              </w:rPr>
              <w:t>12米 介质：硫磺，温度200℃；材质:法兰接头、内波纹管、护套、外层编织网为304；压力:PN16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6米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8米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10米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12米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jc w:val="center"/>
              <w:rPr>
                <w:rFonts w:ascii="宋体" w:hAnsi="宋体" w:cs="宋体"/>
                <w:sz w:val="20"/>
              </w:rPr>
            </w:pPr>
            <w:r>
              <w:rPr>
                <w:rFonts w:hint="eastAsia"/>
                <w:sz w:val="20"/>
              </w:rPr>
              <w:t>DN25</w:t>
            </w:r>
          </w:p>
        </w:tc>
        <w:tc>
          <w:tcPr>
            <w:tcW w:w="1645" w:type="pct"/>
            <w:shd w:val="clear" w:color="000000" w:fill="FFFFFF"/>
            <w:vAlign w:val="center"/>
          </w:tcPr>
          <w:p>
            <w:pPr>
              <w:rPr>
                <w:rFonts w:ascii="宋体" w:hAnsi="宋体" w:cs="宋体"/>
                <w:color w:val="000000"/>
                <w:sz w:val="20"/>
              </w:rPr>
            </w:pPr>
            <w:r>
              <w:rPr>
                <w:rFonts w:hint="eastAsia"/>
                <w:color w:val="000000"/>
                <w:sz w:val="20"/>
              </w:rPr>
              <w:t>5米 介质：蒸汽，温度150℃；材质:法兰接头、内波纹管、护套、外层编织网为304；压力:PN16 一端为活套法兰，另一端为固定法兰；耐高温150℃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951" w:type="pct"/>
            <w:gridSpan w:val="4"/>
            <w:shd w:val="clear" w:color="auto" w:fill="auto"/>
            <w:vAlign w:val="center"/>
          </w:tcPr>
          <w:p>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2048" w:type="pct"/>
            <w:gridSpan w:val="5"/>
            <w:shd w:val="clear" w:color="auto" w:fill="auto"/>
            <w:vAlign w:val="center"/>
          </w:tcPr>
          <w:p>
            <w:pPr>
              <w:widowControl/>
              <w:spacing w:line="0" w:lineRule="atLeast"/>
              <w:jc w:val="center"/>
              <w:rPr>
                <w:rFonts w:ascii="宋体" w:hAnsi="宋体" w:cs="宋体"/>
                <w:kern w:val="0"/>
                <w:sz w:val="18"/>
                <w:szCs w:val="18"/>
              </w:rPr>
            </w:pPr>
          </w:p>
        </w:tc>
      </w:tr>
    </w:tbl>
    <w:p>
      <w:pPr>
        <w:pStyle w:val="9"/>
        <w:adjustRightInd w:val="0"/>
        <w:snapToGrid w:val="0"/>
        <w:spacing w:before="0" w:after="0" w:line="600" w:lineRule="exact"/>
        <w:jc w:val="left"/>
        <w:rPr>
          <w:rFonts w:ascii="方正仿宋简体" w:hAnsi="方正仿宋简体" w:eastAsia="方正仿宋简体" w:cs="方正仿宋简体"/>
          <w:color w:val="FF0000"/>
          <w:kern w:val="1"/>
        </w:rPr>
      </w:pPr>
    </w:p>
    <w:p/>
    <w:p>
      <w:pPr>
        <w:pStyle w:val="2"/>
      </w:pPr>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u w:val="single"/>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2110E"/>
    <w:rsid w:val="0002538A"/>
    <w:rsid w:val="00030F87"/>
    <w:rsid w:val="000310BC"/>
    <w:rsid w:val="0003693D"/>
    <w:rsid w:val="000452B0"/>
    <w:rsid w:val="00063E06"/>
    <w:rsid w:val="00070880"/>
    <w:rsid w:val="000727B0"/>
    <w:rsid w:val="00084604"/>
    <w:rsid w:val="000A22DB"/>
    <w:rsid w:val="000C1845"/>
    <w:rsid w:val="000C23F2"/>
    <w:rsid w:val="000D1F3A"/>
    <w:rsid w:val="000D6A23"/>
    <w:rsid w:val="000F7DBC"/>
    <w:rsid w:val="0010329E"/>
    <w:rsid w:val="001126FD"/>
    <w:rsid w:val="00113915"/>
    <w:rsid w:val="00115EEC"/>
    <w:rsid w:val="001233DC"/>
    <w:rsid w:val="001260B7"/>
    <w:rsid w:val="00144EE4"/>
    <w:rsid w:val="00151C5B"/>
    <w:rsid w:val="00160290"/>
    <w:rsid w:val="00166793"/>
    <w:rsid w:val="0018234A"/>
    <w:rsid w:val="001915A1"/>
    <w:rsid w:val="00193418"/>
    <w:rsid w:val="0019402B"/>
    <w:rsid w:val="00194A83"/>
    <w:rsid w:val="00196EA5"/>
    <w:rsid w:val="001A1E09"/>
    <w:rsid w:val="001A7FE6"/>
    <w:rsid w:val="001C3F61"/>
    <w:rsid w:val="001D2908"/>
    <w:rsid w:val="001D2FAA"/>
    <w:rsid w:val="001F16BE"/>
    <w:rsid w:val="00210C67"/>
    <w:rsid w:val="002133E5"/>
    <w:rsid w:val="0024696A"/>
    <w:rsid w:val="002776E8"/>
    <w:rsid w:val="002B3E65"/>
    <w:rsid w:val="002E3349"/>
    <w:rsid w:val="002E6D7C"/>
    <w:rsid w:val="002F1C73"/>
    <w:rsid w:val="002F51AC"/>
    <w:rsid w:val="002F66BD"/>
    <w:rsid w:val="002F6BFC"/>
    <w:rsid w:val="0031037C"/>
    <w:rsid w:val="0031252B"/>
    <w:rsid w:val="00325814"/>
    <w:rsid w:val="003274F0"/>
    <w:rsid w:val="00331F42"/>
    <w:rsid w:val="00344009"/>
    <w:rsid w:val="0035397A"/>
    <w:rsid w:val="00355E41"/>
    <w:rsid w:val="003732C8"/>
    <w:rsid w:val="0037509F"/>
    <w:rsid w:val="00380BAA"/>
    <w:rsid w:val="0038382E"/>
    <w:rsid w:val="00383D99"/>
    <w:rsid w:val="00384194"/>
    <w:rsid w:val="00392332"/>
    <w:rsid w:val="00394D6B"/>
    <w:rsid w:val="003A6ED2"/>
    <w:rsid w:val="003B4E51"/>
    <w:rsid w:val="003B560B"/>
    <w:rsid w:val="003B7EDC"/>
    <w:rsid w:val="003C384A"/>
    <w:rsid w:val="003C51EF"/>
    <w:rsid w:val="003F6282"/>
    <w:rsid w:val="00412299"/>
    <w:rsid w:val="00413897"/>
    <w:rsid w:val="00422B7F"/>
    <w:rsid w:val="00423C19"/>
    <w:rsid w:val="00436FD6"/>
    <w:rsid w:val="004424E8"/>
    <w:rsid w:val="00453E07"/>
    <w:rsid w:val="00466243"/>
    <w:rsid w:val="0047291F"/>
    <w:rsid w:val="004875EB"/>
    <w:rsid w:val="004975D5"/>
    <w:rsid w:val="004C1280"/>
    <w:rsid w:val="004C289D"/>
    <w:rsid w:val="004C7E90"/>
    <w:rsid w:val="004D194F"/>
    <w:rsid w:val="004E0EDF"/>
    <w:rsid w:val="004E3CCE"/>
    <w:rsid w:val="004F5E27"/>
    <w:rsid w:val="00513711"/>
    <w:rsid w:val="00516E67"/>
    <w:rsid w:val="00527733"/>
    <w:rsid w:val="0053268D"/>
    <w:rsid w:val="00535B87"/>
    <w:rsid w:val="00553A0A"/>
    <w:rsid w:val="005647F7"/>
    <w:rsid w:val="0057414E"/>
    <w:rsid w:val="00597512"/>
    <w:rsid w:val="005B0561"/>
    <w:rsid w:val="005D4F71"/>
    <w:rsid w:val="005F1775"/>
    <w:rsid w:val="00602FF1"/>
    <w:rsid w:val="006076D2"/>
    <w:rsid w:val="0061433F"/>
    <w:rsid w:val="00627038"/>
    <w:rsid w:val="00627E3E"/>
    <w:rsid w:val="006734DC"/>
    <w:rsid w:val="0067432C"/>
    <w:rsid w:val="00676674"/>
    <w:rsid w:val="00677138"/>
    <w:rsid w:val="006835A9"/>
    <w:rsid w:val="00693CB5"/>
    <w:rsid w:val="00694656"/>
    <w:rsid w:val="00696C53"/>
    <w:rsid w:val="006B2C08"/>
    <w:rsid w:val="006C09FB"/>
    <w:rsid w:val="006D00BD"/>
    <w:rsid w:val="006D3CEC"/>
    <w:rsid w:val="006D5E62"/>
    <w:rsid w:val="007009FD"/>
    <w:rsid w:val="0070428B"/>
    <w:rsid w:val="00711ACD"/>
    <w:rsid w:val="007254B5"/>
    <w:rsid w:val="00734D1C"/>
    <w:rsid w:val="00737519"/>
    <w:rsid w:val="00753CD1"/>
    <w:rsid w:val="00766E4F"/>
    <w:rsid w:val="00781AF0"/>
    <w:rsid w:val="00786EDE"/>
    <w:rsid w:val="007875CD"/>
    <w:rsid w:val="007B0071"/>
    <w:rsid w:val="007D12CA"/>
    <w:rsid w:val="007D630F"/>
    <w:rsid w:val="007E0D6B"/>
    <w:rsid w:val="007E6E47"/>
    <w:rsid w:val="007F24D9"/>
    <w:rsid w:val="00816BFD"/>
    <w:rsid w:val="00826C86"/>
    <w:rsid w:val="0083404A"/>
    <w:rsid w:val="008362AB"/>
    <w:rsid w:val="00837548"/>
    <w:rsid w:val="00842B41"/>
    <w:rsid w:val="00850BC8"/>
    <w:rsid w:val="00854C6E"/>
    <w:rsid w:val="00856599"/>
    <w:rsid w:val="008620AB"/>
    <w:rsid w:val="00863924"/>
    <w:rsid w:val="00882A3F"/>
    <w:rsid w:val="008C7055"/>
    <w:rsid w:val="008C785B"/>
    <w:rsid w:val="008D2F65"/>
    <w:rsid w:val="008D5377"/>
    <w:rsid w:val="008E45F4"/>
    <w:rsid w:val="008F6730"/>
    <w:rsid w:val="00900A5B"/>
    <w:rsid w:val="009050C1"/>
    <w:rsid w:val="00905BE8"/>
    <w:rsid w:val="00907A37"/>
    <w:rsid w:val="0091028A"/>
    <w:rsid w:val="00911ADE"/>
    <w:rsid w:val="00911E5D"/>
    <w:rsid w:val="009329C1"/>
    <w:rsid w:val="0093613E"/>
    <w:rsid w:val="00975ECA"/>
    <w:rsid w:val="00981E93"/>
    <w:rsid w:val="009956B1"/>
    <w:rsid w:val="009A29A7"/>
    <w:rsid w:val="009B1D52"/>
    <w:rsid w:val="009C7CE7"/>
    <w:rsid w:val="009D1883"/>
    <w:rsid w:val="009D21BB"/>
    <w:rsid w:val="00A171A7"/>
    <w:rsid w:val="00A1726E"/>
    <w:rsid w:val="00A278BF"/>
    <w:rsid w:val="00A30621"/>
    <w:rsid w:val="00A61114"/>
    <w:rsid w:val="00A63D7F"/>
    <w:rsid w:val="00A7381A"/>
    <w:rsid w:val="00A73EE1"/>
    <w:rsid w:val="00A7648E"/>
    <w:rsid w:val="00A80EF2"/>
    <w:rsid w:val="00A8445B"/>
    <w:rsid w:val="00A87CB0"/>
    <w:rsid w:val="00AB6095"/>
    <w:rsid w:val="00AB7262"/>
    <w:rsid w:val="00AC569D"/>
    <w:rsid w:val="00AF29F9"/>
    <w:rsid w:val="00B01341"/>
    <w:rsid w:val="00B02837"/>
    <w:rsid w:val="00B353E5"/>
    <w:rsid w:val="00B37D99"/>
    <w:rsid w:val="00B51C96"/>
    <w:rsid w:val="00B7406B"/>
    <w:rsid w:val="00B74619"/>
    <w:rsid w:val="00B77050"/>
    <w:rsid w:val="00B82CED"/>
    <w:rsid w:val="00BC7F38"/>
    <w:rsid w:val="00BD78FB"/>
    <w:rsid w:val="00BF2809"/>
    <w:rsid w:val="00C23F52"/>
    <w:rsid w:val="00C24CC5"/>
    <w:rsid w:val="00C258E8"/>
    <w:rsid w:val="00C41533"/>
    <w:rsid w:val="00C56465"/>
    <w:rsid w:val="00C743A3"/>
    <w:rsid w:val="00C92F94"/>
    <w:rsid w:val="00C97E7F"/>
    <w:rsid w:val="00CE0CB9"/>
    <w:rsid w:val="00CF2961"/>
    <w:rsid w:val="00D24639"/>
    <w:rsid w:val="00D32CC0"/>
    <w:rsid w:val="00D330F2"/>
    <w:rsid w:val="00D36283"/>
    <w:rsid w:val="00D461DD"/>
    <w:rsid w:val="00D50BEE"/>
    <w:rsid w:val="00D74586"/>
    <w:rsid w:val="00D82058"/>
    <w:rsid w:val="00D87C62"/>
    <w:rsid w:val="00DA002C"/>
    <w:rsid w:val="00DA4F1D"/>
    <w:rsid w:val="00DD194E"/>
    <w:rsid w:val="00DE2783"/>
    <w:rsid w:val="00DF0551"/>
    <w:rsid w:val="00E31E36"/>
    <w:rsid w:val="00E37C34"/>
    <w:rsid w:val="00E45A9C"/>
    <w:rsid w:val="00E47AA5"/>
    <w:rsid w:val="00E50D02"/>
    <w:rsid w:val="00E74639"/>
    <w:rsid w:val="00E9659A"/>
    <w:rsid w:val="00EA5445"/>
    <w:rsid w:val="00EB7745"/>
    <w:rsid w:val="00ED1B47"/>
    <w:rsid w:val="00ED3007"/>
    <w:rsid w:val="00ED4ABB"/>
    <w:rsid w:val="00EE2044"/>
    <w:rsid w:val="00EE7E2A"/>
    <w:rsid w:val="00F0109D"/>
    <w:rsid w:val="00F025B8"/>
    <w:rsid w:val="00F16E4B"/>
    <w:rsid w:val="00F32DB5"/>
    <w:rsid w:val="00F33B17"/>
    <w:rsid w:val="00F45B42"/>
    <w:rsid w:val="00F57F89"/>
    <w:rsid w:val="00F75185"/>
    <w:rsid w:val="00F82699"/>
    <w:rsid w:val="00FA1409"/>
    <w:rsid w:val="00FA2A6F"/>
    <w:rsid w:val="00FB0628"/>
    <w:rsid w:val="00FC416E"/>
    <w:rsid w:val="00FF1217"/>
    <w:rsid w:val="00FF61CA"/>
    <w:rsid w:val="09E67744"/>
    <w:rsid w:val="0CCD460E"/>
    <w:rsid w:val="0D382D32"/>
    <w:rsid w:val="0E6078B6"/>
    <w:rsid w:val="1444244B"/>
    <w:rsid w:val="14EA645D"/>
    <w:rsid w:val="176411D5"/>
    <w:rsid w:val="19181A3A"/>
    <w:rsid w:val="1D503DFB"/>
    <w:rsid w:val="21212E80"/>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8F140FE"/>
    <w:rsid w:val="4ADD1BA1"/>
    <w:rsid w:val="4B0853C3"/>
    <w:rsid w:val="4C641897"/>
    <w:rsid w:val="4DC0511E"/>
    <w:rsid w:val="4E7C39E4"/>
    <w:rsid w:val="4EC62778"/>
    <w:rsid w:val="4FAC5BC3"/>
    <w:rsid w:val="4FC61FF0"/>
    <w:rsid w:val="50115728"/>
    <w:rsid w:val="50846203"/>
    <w:rsid w:val="538763B9"/>
    <w:rsid w:val="540463E4"/>
    <w:rsid w:val="55DC546E"/>
    <w:rsid w:val="56FF506A"/>
    <w:rsid w:val="579C3951"/>
    <w:rsid w:val="57F90679"/>
    <w:rsid w:val="596D6B7C"/>
    <w:rsid w:val="5CEC747F"/>
    <w:rsid w:val="64B004F2"/>
    <w:rsid w:val="66202ABE"/>
    <w:rsid w:val="66441755"/>
    <w:rsid w:val="66CF713B"/>
    <w:rsid w:val="683F6E19"/>
    <w:rsid w:val="68961ACE"/>
    <w:rsid w:val="6A903126"/>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6"/>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rPr>
  </w:style>
  <w:style w:type="paragraph" w:styleId="5">
    <w:name w:val="annotation text"/>
    <w:basedOn w:val="1"/>
    <w:link w:val="17"/>
    <w:qFormat/>
    <w:uiPriority w:val="0"/>
    <w:pPr>
      <w:jc w:val="left"/>
    </w:pPr>
    <w:rPr>
      <w:rFonts w:ascii="Calibri" w:hAnsi="Calibri"/>
    </w:rPr>
  </w:style>
  <w:style w:type="paragraph" w:styleId="6">
    <w:name w:val="Body Text Indent"/>
    <w:basedOn w:val="1"/>
    <w:autoRedefine/>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autoRedefine/>
    <w:unhideWhenUsed/>
    <w:qFormat/>
    <w:uiPriority w:val="99"/>
    <w:rPr>
      <w:color w:val="800080"/>
      <w:u w:val="single"/>
    </w:rPr>
  </w:style>
  <w:style w:type="character" w:styleId="14">
    <w:name w:val="Hyperlink"/>
    <w:basedOn w:val="12"/>
    <w:autoRedefine/>
    <w:unhideWhenUsed/>
    <w:qFormat/>
    <w:uiPriority w:val="99"/>
    <w:rPr>
      <w:color w:val="0000FF"/>
      <w:u w:val="single"/>
    </w:rPr>
  </w:style>
  <w:style w:type="character" w:customStyle="1" w:styleId="15">
    <w:name w:val="正文文本 Char"/>
    <w:basedOn w:val="12"/>
    <w:link w:val="2"/>
    <w:autoRedefine/>
    <w:qFormat/>
    <w:uiPriority w:val="99"/>
    <w:rPr>
      <w:rFonts w:ascii="Times New Roman" w:hAnsi="Times New Roman" w:cs="Times New Roman"/>
      <w:kern w:val="2"/>
      <w:sz w:val="21"/>
    </w:rPr>
  </w:style>
  <w:style w:type="character" w:customStyle="1" w:styleId="16">
    <w:name w:val="标题 1 Char"/>
    <w:basedOn w:val="12"/>
    <w:link w:val="4"/>
    <w:qFormat/>
    <w:uiPriority w:val="99"/>
    <w:rPr>
      <w:rFonts w:cs="Times New Roman"/>
      <w:kern w:val="44"/>
      <w:sz w:val="44"/>
    </w:rPr>
  </w:style>
  <w:style w:type="character" w:customStyle="1" w:styleId="17">
    <w:name w:val="批注文字 Char"/>
    <w:basedOn w:val="12"/>
    <w:link w:val="5"/>
    <w:autoRedefine/>
    <w:qFormat/>
    <w:uiPriority w:val="0"/>
    <w:rPr>
      <w:rFonts w:cs="Times New Roman"/>
      <w:kern w:val="2"/>
      <w:sz w:val="21"/>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autoRedefine/>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autoRedefine/>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autoRedefine/>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autoRedefine/>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autoRedefine/>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autoRedefine/>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3F5C3-0508-4CC0-8CA1-72FCEB1DBB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1757</Words>
  <Characters>10016</Characters>
  <Lines>83</Lines>
  <Paragraphs>23</Paragraphs>
  <TotalTime>0</TotalTime>
  <ScaleCrop>false</ScaleCrop>
  <LinksUpToDate>false</LinksUpToDate>
  <CharactersWithSpaces>11750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2023-12-19T01:30:28Z</dcterms:modified>
  <dc:title>镇江海纳川物流产业发展有限责任公司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