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20240108海纳川生产备件采购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2024年1月24日下午2点30分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2024年1月24日下午2点30分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该采购项目由海纳川统一招标，中标单位根据报价明细分别与镇江海纳川物流产业发展有限责任公司（简称海纳川）和镇江海纳川公铁运输有限公司（简称公铁运输）签订合同。</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57"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7"/>
        <w:gridCol w:w="1175"/>
        <w:gridCol w:w="502"/>
        <w:gridCol w:w="2618"/>
        <w:gridCol w:w="1526"/>
        <w:gridCol w:w="555"/>
        <w:gridCol w:w="12"/>
        <w:gridCol w:w="487"/>
        <w:gridCol w:w="93"/>
        <w:gridCol w:w="1001"/>
        <w:gridCol w:w="39"/>
        <w:gridCol w:w="1010"/>
        <w:gridCol w:w="29"/>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3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20" w:type="pct"/>
            <w:gridSpan w:val="3"/>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6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7" w:type="pct"/>
            <w:gridSpan w:val="3"/>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820" w:type="pct"/>
            <w:gridSpan w:val="3"/>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钢丝绳</w:t>
            </w:r>
          </w:p>
        </w:tc>
        <w:tc>
          <w:tcPr>
            <w:tcW w:w="1267"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6股</w:t>
            </w:r>
          </w:p>
        </w:tc>
        <w:tc>
          <w:tcPr>
            <w:tcW w:w="73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φ7.7</w:t>
            </w:r>
          </w:p>
        </w:tc>
        <w:tc>
          <w:tcPr>
            <w:tcW w:w="269"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米</w:t>
            </w:r>
          </w:p>
        </w:tc>
        <w:tc>
          <w:tcPr>
            <w:tcW w:w="287" w:type="pct"/>
            <w:gridSpan w:val="3"/>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160 </w:t>
            </w:r>
          </w:p>
        </w:tc>
        <w:tc>
          <w:tcPr>
            <w:tcW w:w="504"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503"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820" w:type="pct"/>
            <w:gridSpan w:val="3"/>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油浸式胎压表</w:t>
            </w:r>
          </w:p>
        </w:tc>
        <w:tc>
          <w:tcPr>
            <w:tcW w:w="1267"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量程：0-16Bar 表盘材质：合金 表盘直径：8CM 气管长：37CM 手板长：16CM 冲气口长：2.3CM 加长手柄：5.5CM</w:t>
            </w:r>
          </w:p>
        </w:tc>
        <w:tc>
          <w:tcPr>
            <w:tcW w:w="73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269"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287" w:type="pct"/>
            <w:gridSpan w:val="3"/>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1 </w:t>
            </w:r>
          </w:p>
        </w:tc>
        <w:tc>
          <w:tcPr>
            <w:tcW w:w="504"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503"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820" w:type="pct"/>
            <w:gridSpan w:val="3"/>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碳钢双头螺栓及帽</w:t>
            </w:r>
          </w:p>
        </w:tc>
        <w:tc>
          <w:tcPr>
            <w:tcW w:w="1267"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M27×115 8.8级</w:t>
            </w:r>
          </w:p>
        </w:tc>
        <w:tc>
          <w:tcPr>
            <w:tcW w:w="73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269"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套</w:t>
            </w:r>
          </w:p>
        </w:tc>
        <w:tc>
          <w:tcPr>
            <w:tcW w:w="287" w:type="pct"/>
            <w:gridSpan w:val="3"/>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100 </w:t>
            </w:r>
          </w:p>
        </w:tc>
        <w:tc>
          <w:tcPr>
            <w:tcW w:w="504"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503"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820" w:type="pct"/>
            <w:gridSpan w:val="3"/>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限位开关</w:t>
            </w:r>
          </w:p>
        </w:tc>
        <w:tc>
          <w:tcPr>
            <w:tcW w:w="1267"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73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SZL-WL-A</w:t>
            </w:r>
          </w:p>
        </w:tc>
        <w:tc>
          <w:tcPr>
            <w:tcW w:w="269"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287" w:type="pct"/>
            <w:gridSpan w:val="3"/>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10 </w:t>
            </w:r>
          </w:p>
        </w:tc>
        <w:tc>
          <w:tcPr>
            <w:tcW w:w="504"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503"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820" w:type="pct"/>
            <w:gridSpan w:val="3"/>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限位开关</w:t>
            </w:r>
          </w:p>
        </w:tc>
        <w:tc>
          <w:tcPr>
            <w:tcW w:w="1267"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73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YBLX-K3/20S/J</w:t>
            </w:r>
          </w:p>
        </w:tc>
        <w:tc>
          <w:tcPr>
            <w:tcW w:w="269"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287" w:type="pct"/>
            <w:gridSpan w:val="3"/>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20 </w:t>
            </w:r>
          </w:p>
        </w:tc>
        <w:tc>
          <w:tcPr>
            <w:tcW w:w="504"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503"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63" w:type="pct"/>
            <w:gridSpan w:val="6"/>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936" w:type="pct"/>
            <w:gridSpan w:val="9"/>
          </w:tcPr>
          <w:p>
            <w:pPr>
              <w:widowControl/>
              <w:spacing w:line="0" w:lineRule="atLeast"/>
              <w:jc w:val="left"/>
              <w:rPr>
                <w:rFonts w:ascii="方正仿宋简体" w:hAnsi="方正仿宋简体" w:eastAsia="方正仿宋简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44"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11"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5"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0"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8"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88"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44"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69" w:type="pct"/>
            <w:vAlign w:val="center"/>
          </w:tcPr>
          <w:p>
            <w:pPr>
              <w:spacing w:line="0" w:lineRule="atLeast"/>
              <w:rPr>
                <w:rFonts w:ascii="宋体" w:hAnsi="宋体" w:cs="宋体"/>
                <w:color w:val="000000"/>
                <w:sz w:val="18"/>
                <w:szCs w:val="18"/>
              </w:rPr>
            </w:pPr>
            <w:r>
              <w:rPr>
                <w:rFonts w:hint="eastAsia"/>
                <w:color w:val="000000"/>
                <w:sz w:val="18"/>
                <w:szCs w:val="18"/>
              </w:rPr>
              <w:t>钢筋钳</w:t>
            </w:r>
          </w:p>
        </w:tc>
        <w:tc>
          <w:tcPr>
            <w:tcW w:w="1511" w:type="pct"/>
            <w:gridSpan w:val="2"/>
            <w:vAlign w:val="center"/>
          </w:tcPr>
          <w:p>
            <w:pPr>
              <w:spacing w:line="0" w:lineRule="atLeast"/>
              <w:rPr>
                <w:rFonts w:ascii="宋体" w:hAnsi="宋体" w:cs="宋体"/>
                <w:color w:val="000000"/>
                <w:sz w:val="18"/>
                <w:szCs w:val="18"/>
              </w:rPr>
            </w:pPr>
            <w:r>
              <w:rPr>
                <w:rFonts w:hint="eastAsia"/>
                <w:color w:val="000000"/>
                <w:sz w:val="18"/>
                <w:szCs w:val="18"/>
              </w:rPr>
              <w:t>　</w:t>
            </w:r>
          </w:p>
        </w:tc>
        <w:tc>
          <w:tcPr>
            <w:tcW w:w="739" w:type="pct"/>
            <w:vAlign w:val="center"/>
          </w:tcPr>
          <w:p>
            <w:pPr>
              <w:spacing w:line="0" w:lineRule="atLeast"/>
              <w:rPr>
                <w:rFonts w:ascii="宋体" w:hAnsi="宋体" w:cs="宋体"/>
                <w:color w:val="000000"/>
                <w:sz w:val="18"/>
                <w:szCs w:val="18"/>
              </w:rPr>
            </w:pPr>
            <w:r>
              <w:rPr>
                <w:rFonts w:hint="eastAsia"/>
                <w:color w:val="000000"/>
                <w:sz w:val="18"/>
                <w:szCs w:val="18"/>
              </w:rPr>
              <w:t>24寸600MM</w:t>
            </w:r>
          </w:p>
        </w:tc>
        <w:tc>
          <w:tcPr>
            <w:tcW w:w="275" w:type="pct"/>
            <w:gridSpan w:val="2"/>
            <w:vAlign w:val="center"/>
          </w:tcPr>
          <w:p>
            <w:pPr>
              <w:spacing w:line="0" w:lineRule="atLeast"/>
              <w:jc w:val="center"/>
              <w:rPr>
                <w:rFonts w:ascii="宋体" w:hAnsi="宋体" w:cs="宋体"/>
                <w:color w:val="000000"/>
                <w:sz w:val="18"/>
                <w:szCs w:val="18"/>
              </w:rPr>
            </w:pPr>
            <w:r>
              <w:rPr>
                <w:rFonts w:hint="eastAsia"/>
                <w:color w:val="000000"/>
                <w:sz w:val="18"/>
                <w:szCs w:val="18"/>
              </w:rPr>
              <w:t>把</w:t>
            </w:r>
          </w:p>
        </w:tc>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6 </w:t>
            </w:r>
          </w:p>
        </w:tc>
        <w:tc>
          <w:tcPr>
            <w:tcW w:w="530"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508"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388" w:type="pct"/>
            <w:gridSpan w:val="2"/>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44" w:type="pct"/>
            <w:gridSpan w:val="2"/>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569" w:type="pct"/>
            <w:vAlign w:val="center"/>
          </w:tcPr>
          <w:p>
            <w:pPr>
              <w:spacing w:line="0" w:lineRule="atLeast"/>
              <w:rPr>
                <w:rFonts w:ascii="宋体" w:hAnsi="宋体" w:cs="宋体"/>
                <w:color w:val="000000"/>
                <w:sz w:val="18"/>
                <w:szCs w:val="18"/>
              </w:rPr>
            </w:pPr>
            <w:r>
              <w:rPr>
                <w:rFonts w:hint="eastAsia"/>
                <w:color w:val="000000"/>
                <w:sz w:val="18"/>
                <w:szCs w:val="18"/>
              </w:rPr>
              <w:t>消防铁锹</w:t>
            </w:r>
          </w:p>
        </w:tc>
        <w:tc>
          <w:tcPr>
            <w:tcW w:w="1511" w:type="pct"/>
            <w:gridSpan w:val="2"/>
            <w:vAlign w:val="center"/>
          </w:tcPr>
          <w:p>
            <w:pPr>
              <w:spacing w:line="0" w:lineRule="atLeast"/>
              <w:rPr>
                <w:rFonts w:ascii="宋体" w:hAnsi="宋体" w:cs="宋体"/>
                <w:color w:val="000000"/>
                <w:sz w:val="18"/>
                <w:szCs w:val="18"/>
              </w:rPr>
            </w:pPr>
            <w:r>
              <w:rPr>
                <w:rFonts w:hint="eastAsia"/>
                <w:color w:val="000000"/>
                <w:sz w:val="18"/>
                <w:szCs w:val="18"/>
              </w:rPr>
              <w:t>总长1m，硬木手柄+D型托</w:t>
            </w:r>
          </w:p>
        </w:tc>
        <w:tc>
          <w:tcPr>
            <w:tcW w:w="739" w:type="pct"/>
            <w:vAlign w:val="center"/>
          </w:tcPr>
          <w:p>
            <w:pPr>
              <w:spacing w:line="0" w:lineRule="atLeast"/>
              <w:rPr>
                <w:rFonts w:ascii="宋体" w:hAnsi="宋体" w:cs="宋体"/>
                <w:color w:val="000000"/>
                <w:sz w:val="18"/>
                <w:szCs w:val="18"/>
              </w:rPr>
            </w:pPr>
            <w:r>
              <w:rPr>
                <w:rFonts w:hint="eastAsia"/>
                <w:color w:val="000000"/>
                <w:sz w:val="18"/>
                <w:szCs w:val="18"/>
              </w:rPr>
              <w:t>尖锹，30*23cm</w:t>
            </w:r>
          </w:p>
        </w:tc>
        <w:tc>
          <w:tcPr>
            <w:tcW w:w="275" w:type="pct"/>
            <w:gridSpan w:val="2"/>
            <w:vAlign w:val="center"/>
          </w:tcPr>
          <w:p>
            <w:pPr>
              <w:spacing w:line="0" w:lineRule="atLeast"/>
              <w:jc w:val="center"/>
              <w:rPr>
                <w:rFonts w:ascii="宋体" w:hAnsi="宋体" w:cs="宋体"/>
                <w:color w:val="000000"/>
                <w:sz w:val="18"/>
                <w:szCs w:val="18"/>
              </w:rPr>
            </w:pPr>
            <w:r>
              <w:rPr>
                <w:rFonts w:hint="eastAsia"/>
                <w:color w:val="000000"/>
                <w:sz w:val="18"/>
                <w:szCs w:val="18"/>
              </w:rPr>
              <w:t>把</w:t>
            </w:r>
          </w:p>
        </w:tc>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10 </w:t>
            </w:r>
          </w:p>
        </w:tc>
        <w:tc>
          <w:tcPr>
            <w:tcW w:w="530"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508" w:type="pct"/>
            <w:gridSpan w:val="2"/>
            <w:vAlign w:val="center"/>
          </w:tcPr>
          <w:p>
            <w:pPr>
              <w:widowControl/>
              <w:spacing w:line="0" w:lineRule="atLeast"/>
              <w:jc w:val="center"/>
              <w:rPr>
                <w:rFonts w:ascii="方正仿宋简体" w:hAnsi="方正仿宋简体" w:eastAsia="方正仿宋简体" w:cs="方正仿宋简体"/>
                <w:szCs w:val="21"/>
              </w:rPr>
            </w:pPr>
          </w:p>
        </w:tc>
        <w:tc>
          <w:tcPr>
            <w:tcW w:w="388" w:type="pct"/>
            <w:gridSpan w:val="2"/>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063" w:type="pct"/>
            <w:gridSpan w:val="6"/>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936" w:type="pct"/>
            <w:gridSpan w:val="9"/>
          </w:tcPr>
          <w:p>
            <w:pPr>
              <w:widowControl/>
              <w:spacing w:line="0" w:lineRule="atLeast"/>
              <w:jc w:val="left"/>
              <w:rPr>
                <w:rFonts w:ascii="方正仿宋简体" w:hAnsi="方正仿宋简体" w:eastAsia="方正仿宋简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063" w:type="pct"/>
            <w:gridSpan w:val="6"/>
            <w:vAlign w:val="center"/>
          </w:tcPr>
          <w:p>
            <w:pPr>
              <w:widowControl/>
              <w:spacing w:line="0" w:lineRule="atLeast"/>
              <w:jc w:val="left"/>
              <w:rPr>
                <w:rFonts w:ascii="方正仿宋简体" w:hAnsi="方正仿宋简体" w:eastAsia="方正仿宋简体" w:cs="方正仿宋简体"/>
                <w:sz w:val="28"/>
                <w:szCs w:val="28"/>
              </w:rPr>
            </w:pPr>
            <w:r>
              <w:rPr>
                <w:rFonts w:ascii="方正仿宋简体" w:hAnsi="方正仿宋简体" w:eastAsia="方正仿宋简体" w:cs="方正仿宋简体"/>
                <w:sz w:val="28"/>
                <w:szCs w:val="28"/>
              </w:rPr>
              <w:t>总投标价</w:t>
            </w:r>
            <w:r>
              <w:rPr>
                <w:rFonts w:hint="eastAsia" w:ascii="方正仿宋简体" w:hAnsi="方正仿宋简体" w:eastAsia="方正仿宋简体" w:cs="方正仿宋简体"/>
                <w:sz w:val="28"/>
                <w:szCs w:val="28"/>
              </w:rPr>
              <w:t>（小写）：</w:t>
            </w:r>
          </w:p>
        </w:tc>
        <w:tc>
          <w:tcPr>
            <w:tcW w:w="1936" w:type="pct"/>
            <w:gridSpan w:val="9"/>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640" w:firstLineChars="200"/>
        <w:rPr>
          <w:rFonts w:ascii="方正仿宋简体" w:hAnsi="方正仿宋简体" w:eastAsia="方正仿宋简体" w:cs="方正仿宋简体"/>
          <w:sz w:val="32"/>
          <w:szCs w:val="32"/>
        </w:rPr>
      </w:pPr>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2024年 月 日</w:t>
            </w:r>
          </w:p>
        </w:tc>
        <w:tc>
          <w:tcPr>
            <w:tcW w:w="5387"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420" w:firstLineChars="200"/>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2148"/>
    <w:rsid w:val="00103A8D"/>
    <w:rsid w:val="00115EEC"/>
    <w:rsid w:val="001260B7"/>
    <w:rsid w:val="00136B0D"/>
    <w:rsid w:val="0014791E"/>
    <w:rsid w:val="001552F9"/>
    <w:rsid w:val="00160290"/>
    <w:rsid w:val="00166793"/>
    <w:rsid w:val="0018234A"/>
    <w:rsid w:val="00184094"/>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A514C"/>
    <w:rsid w:val="003B3B18"/>
    <w:rsid w:val="003B4E51"/>
    <w:rsid w:val="003C384A"/>
    <w:rsid w:val="003D62BF"/>
    <w:rsid w:val="003E1001"/>
    <w:rsid w:val="00413897"/>
    <w:rsid w:val="004178EF"/>
    <w:rsid w:val="00423C19"/>
    <w:rsid w:val="00435D92"/>
    <w:rsid w:val="004424E8"/>
    <w:rsid w:val="00466243"/>
    <w:rsid w:val="00481D71"/>
    <w:rsid w:val="004875EB"/>
    <w:rsid w:val="0049603D"/>
    <w:rsid w:val="004975D5"/>
    <w:rsid w:val="004C1280"/>
    <w:rsid w:val="004C289D"/>
    <w:rsid w:val="004C7A70"/>
    <w:rsid w:val="004F5E27"/>
    <w:rsid w:val="005042EC"/>
    <w:rsid w:val="005142FA"/>
    <w:rsid w:val="00527733"/>
    <w:rsid w:val="0053268D"/>
    <w:rsid w:val="00560EB5"/>
    <w:rsid w:val="005633CB"/>
    <w:rsid w:val="00563855"/>
    <w:rsid w:val="005653AC"/>
    <w:rsid w:val="00576B34"/>
    <w:rsid w:val="0058559E"/>
    <w:rsid w:val="005B31DA"/>
    <w:rsid w:val="005D4758"/>
    <w:rsid w:val="005D4F71"/>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81AF0"/>
    <w:rsid w:val="00786EDE"/>
    <w:rsid w:val="007875CD"/>
    <w:rsid w:val="007930AF"/>
    <w:rsid w:val="007D12CA"/>
    <w:rsid w:val="007D3B2F"/>
    <w:rsid w:val="007D630F"/>
    <w:rsid w:val="007D6397"/>
    <w:rsid w:val="007E0D6B"/>
    <w:rsid w:val="007E6E47"/>
    <w:rsid w:val="00810572"/>
    <w:rsid w:val="008118C5"/>
    <w:rsid w:val="008127B4"/>
    <w:rsid w:val="00813AD6"/>
    <w:rsid w:val="00813F78"/>
    <w:rsid w:val="00823974"/>
    <w:rsid w:val="0083404A"/>
    <w:rsid w:val="00842B41"/>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E0BCA"/>
    <w:rsid w:val="00BF2809"/>
    <w:rsid w:val="00C2100D"/>
    <w:rsid w:val="00C258E8"/>
    <w:rsid w:val="00C31E40"/>
    <w:rsid w:val="00C41533"/>
    <w:rsid w:val="00C56465"/>
    <w:rsid w:val="00C743A3"/>
    <w:rsid w:val="00C83926"/>
    <w:rsid w:val="00C97E7F"/>
    <w:rsid w:val="00D162B3"/>
    <w:rsid w:val="00D24639"/>
    <w:rsid w:val="00D32CC0"/>
    <w:rsid w:val="00D74586"/>
    <w:rsid w:val="00D84546"/>
    <w:rsid w:val="00D86E67"/>
    <w:rsid w:val="00DA002C"/>
    <w:rsid w:val="00DA21DB"/>
    <w:rsid w:val="00DA24A4"/>
    <w:rsid w:val="00DC71A7"/>
    <w:rsid w:val="00DD194E"/>
    <w:rsid w:val="00DD7DB9"/>
    <w:rsid w:val="00DF6528"/>
    <w:rsid w:val="00E02C77"/>
    <w:rsid w:val="00E224BD"/>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F1217"/>
    <w:rsid w:val="00FF61CA"/>
    <w:rsid w:val="00FF74D0"/>
    <w:rsid w:val="01D232E9"/>
    <w:rsid w:val="03B75E81"/>
    <w:rsid w:val="08826623"/>
    <w:rsid w:val="09E67744"/>
    <w:rsid w:val="0CCD460E"/>
    <w:rsid w:val="11E467E9"/>
    <w:rsid w:val="1444244B"/>
    <w:rsid w:val="14EA645D"/>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8E60D-919E-48C8-A4AB-9B98FAD2F64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1171</Words>
  <Characters>6680</Characters>
  <Lines>55</Lines>
  <Paragraphs>15</Paragraphs>
  <TotalTime>0</TotalTime>
  <ScaleCrop>false</ScaleCrop>
  <LinksUpToDate>false</LinksUpToDate>
  <CharactersWithSpaces>7836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2024-01-17T00:42:10Z</dcterms:modified>
  <dc:title>镇江海纳川物流产业发展有限责任公司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