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镇江海纳川公铁运输有限公司</w:t>
      </w:r>
    </w:p>
    <w:p>
      <w:pPr>
        <w:pStyle w:val="3"/>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bCs/>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2024-2025年度危化品汽车配件框架协议采购；</w:t>
      </w:r>
    </w:p>
    <w:p>
      <w:pPr>
        <w:spacing w:line="600" w:lineRule="exact"/>
        <w:jc w:val="left"/>
        <w:rPr>
          <w:rFonts w:cs="ÑÚSå" w:asciiTheme="minorEastAsia" w:hAnsiTheme="minorEastAsia" w:eastAsiaTheme="minorEastAsia"/>
          <w:bCs/>
          <w:kern w:val="1"/>
          <w:szCs w:val="21"/>
        </w:rPr>
      </w:pPr>
      <w:r>
        <w:rPr>
          <w:rFonts w:hint="eastAsia" w:ascii="方正仿宋简体" w:hAnsi="方正仿宋简体" w:eastAsia="方正仿宋简体" w:cs="方正仿宋简体"/>
          <w:bCs/>
          <w:sz w:val="32"/>
          <w:szCs w:val="32"/>
        </w:rPr>
        <w:t>（服务</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—2025</w:t>
      </w:r>
      <w:r>
        <w:rPr>
          <w:rFonts w:hint="eastAsia" w:ascii="方正仿宋简体" w:hAnsi="方正仿宋简体" w:eastAsia="方正仿宋简体" w:cs="方正仿宋简体"/>
          <w:bCs/>
          <w:sz w:val="32"/>
          <w:szCs w:val="32"/>
          <w:lang w:val="zh-CN"/>
        </w:rPr>
        <w:t>年1</w:t>
      </w:r>
      <w:r>
        <w:rPr>
          <w:rFonts w:hint="eastAsia" w:ascii="方正仿宋简体" w:hAnsi="方正仿宋简体" w:eastAsia="方正仿宋简体" w:cs="方正仿宋简体"/>
          <w:bCs/>
          <w:sz w:val="32"/>
          <w:szCs w:val="32"/>
        </w:rPr>
        <w:t>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合同签订后；中标单位在收到通知后当天送货到指定地点,特殊情况双方协商确定；</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海纳川公铁运输汽修厂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12</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12</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3"/>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1.投标方必须严格按照我司招标文件物料的规格型号及物料描述要求报价</w:t>
      </w:r>
      <w:r>
        <w:rPr>
          <w:rFonts w:hint="eastAsia" w:ascii="方正仿宋简体" w:hAnsi="方正仿宋简体" w:eastAsia="方正仿宋简体" w:cs="方正仿宋简体"/>
          <w:kern w:val="1"/>
          <w:sz w:val="32"/>
          <w:szCs w:val="32"/>
        </w:rPr>
        <w:t>供货</w:t>
      </w:r>
      <w:r>
        <w:rPr>
          <w:rFonts w:hint="eastAsia" w:ascii="方正仿宋简体" w:hAnsi="方正仿宋简体" w:eastAsia="方正仿宋简体" w:cs="方正仿宋简体"/>
          <w:sz w:val="32"/>
          <w:szCs w:val="32"/>
        </w:rPr>
        <w:t>，所供产品应符合安全技术规范要求和国家CCC认证要求</w:t>
      </w:r>
      <w:r>
        <w:rPr>
          <w:rFonts w:hint="eastAsia" w:ascii="方正仿宋简体" w:hAnsi="方正仿宋简体" w:eastAsia="方正仿宋简体" w:cs="方正仿宋简体"/>
          <w:kern w:val="1"/>
          <w:sz w:val="32"/>
          <w:szCs w:val="32"/>
        </w:rPr>
        <w:t>，不符合标书要求的按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sz w:val="32"/>
          <w:szCs w:val="32"/>
        </w:rPr>
        <w:t>。</w:t>
      </w:r>
    </w:p>
    <w:p>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2.标的物必须符合相应国家标准或行业标准，产品质量合格（附产品合格证和相关技术资料）满足我司使用要求。</w:t>
      </w:r>
    </w:p>
    <w:p>
      <w:pPr>
        <w:pStyle w:val="2"/>
        <w:rPr>
          <w:rFonts w:eastAsia="方正仿宋简体"/>
        </w:rPr>
      </w:pPr>
      <w:r>
        <w:rPr>
          <w:rFonts w:hint="eastAsia" w:ascii="方正仿宋简体" w:hAnsi="方正仿宋简体" w:eastAsia="方正仿宋简体" w:cs="方正仿宋简体"/>
          <w:sz w:val="32"/>
          <w:szCs w:val="32"/>
        </w:rPr>
        <w:t xml:space="preserve">   3.中标方接到</w:t>
      </w:r>
      <w:r>
        <w:rPr>
          <w:rFonts w:hint="eastAsia" w:ascii="方正仿宋简体" w:hAnsi="方正仿宋简体" w:eastAsia="方正仿宋简体" w:cs="方正仿宋简体"/>
          <w:b/>
          <w:sz w:val="32"/>
          <w:szCs w:val="32"/>
        </w:rPr>
        <w:t>一级维护配件</w:t>
      </w:r>
      <w:r>
        <w:rPr>
          <w:rFonts w:hint="eastAsia" w:ascii="方正仿宋简体" w:hAnsi="方正仿宋简体" w:eastAsia="方正仿宋简体" w:cs="方正仿宋简体"/>
          <w:sz w:val="32"/>
          <w:szCs w:val="32"/>
        </w:rPr>
        <w:t>订单后30分钟内送到招标方维修交货地；中标方接到</w:t>
      </w:r>
      <w:r>
        <w:rPr>
          <w:rFonts w:hint="eastAsia" w:ascii="方正仿宋简体" w:hAnsi="方正仿宋简体" w:eastAsia="方正仿宋简体" w:cs="方正仿宋简体"/>
          <w:b/>
          <w:sz w:val="32"/>
          <w:szCs w:val="32"/>
        </w:rPr>
        <w:t>二级维护配件</w:t>
      </w:r>
      <w:r>
        <w:rPr>
          <w:rFonts w:hint="eastAsia" w:ascii="方正仿宋简体" w:hAnsi="方正仿宋简体" w:eastAsia="方正仿宋简体" w:cs="方正仿宋简体"/>
          <w:sz w:val="32"/>
          <w:szCs w:val="32"/>
        </w:rPr>
        <w:t>订单后60分钟内送到招标方维修交货地点；中标方接到</w:t>
      </w:r>
      <w:r>
        <w:rPr>
          <w:rFonts w:hint="eastAsia" w:ascii="方正仿宋简体" w:hAnsi="方正仿宋简体" w:eastAsia="方正仿宋简体" w:cs="方正仿宋简体"/>
          <w:b/>
          <w:sz w:val="32"/>
          <w:szCs w:val="32"/>
        </w:rPr>
        <w:t>专项维修配件</w:t>
      </w:r>
      <w:r>
        <w:rPr>
          <w:rFonts w:hint="eastAsia" w:ascii="方正仿宋简体" w:hAnsi="方正仿宋简体" w:eastAsia="方正仿宋简体" w:cs="方正仿宋简体"/>
          <w:sz w:val="32"/>
          <w:szCs w:val="32"/>
        </w:rPr>
        <w:t>订单后3小时内送到招标方维修交货地点；</w:t>
      </w:r>
      <w:r>
        <w:rPr>
          <w:rFonts w:hint="eastAsia" w:ascii="方正仿宋简体" w:hAnsi="方正仿宋简体" w:eastAsia="方正仿宋简体" w:cs="方正仿宋简体"/>
          <w:b/>
          <w:sz w:val="32"/>
          <w:szCs w:val="32"/>
        </w:rPr>
        <w:t>特殊维修预约配件</w:t>
      </w:r>
      <w:r>
        <w:rPr>
          <w:rFonts w:hint="eastAsia" w:ascii="方正仿宋简体" w:hAnsi="方正仿宋简体" w:eastAsia="方正仿宋简体" w:cs="方正仿宋简体"/>
          <w:sz w:val="32"/>
          <w:szCs w:val="32"/>
        </w:rPr>
        <w:t>按约定时间送到招标方维修交货地点；中标方负责送货至招标方指定地点，运费由中标方承担。</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sz w:val="32"/>
          <w:szCs w:val="32"/>
        </w:rPr>
        <w:t>报价函还需提供电子档（将报价函存入u盘，随投标文件一起密封好）。未提供u盘的，投标人在投标截止时间后将电子档发给招标人，未及时提供电子档的，将按</w:t>
      </w:r>
      <w:r>
        <w:rPr>
          <w:rFonts w:hint="eastAsia" w:ascii="方正仿宋简体" w:hAnsi="方正仿宋简体" w:eastAsia="方正仿宋简体" w:cs="方正仿宋简体"/>
          <w:b/>
          <w:color w:val="FF0000"/>
          <w:sz w:val="32"/>
          <w:szCs w:val="32"/>
        </w:rPr>
        <w:t>废标</w:t>
      </w:r>
      <w:r>
        <w:rPr>
          <w:rFonts w:hint="eastAsia" w:ascii="方正仿宋简体" w:hAnsi="方正仿宋简体" w:eastAsia="方正仿宋简体" w:cs="方正仿宋简体"/>
          <w:sz w:val="32"/>
          <w:szCs w:val="32"/>
        </w:rPr>
        <w:t>处理。</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4.投标人须提交正本 </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 xml:space="preserve"> 份，副本</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 xml:space="preserve"> 份，同时将投标文件用A4纸装订成册，报价以人民币结算。</w:t>
      </w:r>
    </w:p>
    <w:p>
      <w:pPr>
        <w:pStyle w:val="5"/>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30分钟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kern w:val="44"/>
          <w:sz w:val="32"/>
          <w:szCs w:val="32"/>
        </w:rPr>
        <w:t>根据我司需要</w:t>
      </w:r>
      <w:r>
        <w:rPr>
          <w:rFonts w:hint="eastAsia" w:ascii="方正仿宋简体" w:hAnsi="方正仿宋简体" w:eastAsia="方正仿宋简体" w:cs="方正仿宋简体"/>
          <w:sz w:val="32"/>
          <w:szCs w:val="32"/>
        </w:rPr>
        <w:t>派人到现场技术指导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5"/>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，投标文件需提供</w:t>
      </w:r>
      <w:r>
        <w:rPr>
          <w:rFonts w:hint="eastAsia" w:ascii="方正仿宋简体" w:hAnsi="方正仿宋简体" w:eastAsia="方正仿宋简体" w:cs="方正仿宋简体"/>
          <w:color w:val="FF0000"/>
          <w:kern w:val="1"/>
          <w:sz w:val="32"/>
          <w:szCs w:val="32"/>
          <w:u w:val="single"/>
        </w:rPr>
        <w:t xml:space="preserve"> 2 </w:t>
      </w:r>
      <w:r>
        <w:rPr>
          <w:rFonts w:hint="eastAsia" w:ascii="方正仿宋简体" w:hAnsi="方正仿宋简体" w:eastAsia="方正仿宋简体" w:cs="方正仿宋简体"/>
          <w:kern w:val="1"/>
          <w:sz w:val="32"/>
          <w:szCs w:val="32"/>
        </w:rPr>
        <w:t>份（正本1份和副本1份）。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联系单位：镇江海纳川公铁运输有限公司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技术部门联系人：钱平   电话：13921581690</w:t>
      </w:r>
      <w:r>
        <w:rPr>
          <w:rFonts w:hint="eastAsia" w:ascii="方正仿宋简体" w:hAnsi="方正仿宋简体" w:eastAsia="方正仿宋简体" w:cs="方正仿宋简体"/>
          <w:bCs/>
          <w:color w:val="FF0000"/>
          <w:kern w:val="1"/>
          <w:sz w:val="32"/>
          <w:szCs w:val="32"/>
        </w:rPr>
        <w:t xml:space="preserve"> </w:t>
      </w:r>
    </w:p>
    <w:p>
      <w:pPr>
        <w:pStyle w:val="6"/>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本次招标为企业自主公开招标，属生产经营性商务行为，解释权归镇江海纳川公铁运输有限公司所有。</w:t>
      </w: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2"/>
        <w:rPr>
          <w:rFonts w:ascii="方正仿宋简体" w:hAnsi="方正仿宋简体" w:eastAsia="方正仿宋简体" w:cs="方正仿宋简体"/>
          <w:bCs/>
          <w:kern w:val="1"/>
          <w:sz w:val="32"/>
          <w:szCs w:val="32"/>
        </w:rPr>
      </w:pPr>
    </w:p>
    <w:p>
      <w:pPr>
        <w:pStyle w:val="5"/>
        <w:spacing w:after="0" w:line="600" w:lineRule="exact"/>
        <w:rPr>
          <w:rFonts w:ascii="方正小标宋简体" w:hAnsi="方正小标宋简体" w:eastAsia="方正小标宋简体" w:cs="方正小标宋简体"/>
          <w:szCs w:val="44"/>
        </w:rPr>
      </w:pPr>
      <w:r>
        <w:rPr>
          <w:rFonts w:hint="eastAsia" w:ascii="方正仿宋简体" w:hAnsi="方正仿宋简体" w:eastAsia="方正仿宋简体" w:cs="方正仿宋简体"/>
          <w:bCs/>
          <w:kern w:val="1"/>
          <w:sz w:val="32"/>
          <w:szCs w:val="32"/>
        </w:rPr>
        <w:t>　　</w:t>
      </w:r>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pPr w:leftFromText="180" w:rightFromText="180" w:vertAnchor="text" w:horzAnchor="page" w:tblpXSpec="center" w:tblpY="272"/>
        <w:tblOverlap w:val="never"/>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2"/>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6062" w:type="dxa"/>
            <w:vAlign w:val="center"/>
          </w:tcPr>
          <w:p>
            <w:pPr>
              <w:spacing w:line="360" w:lineRule="auto"/>
              <w:jc w:val="center"/>
              <w:rPr>
                <w:rFonts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项目名称</w:t>
            </w:r>
          </w:p>
        </w:tc>
        <w:tc>
          <w:tcPr>
            <w:tcW w:w="4111" w:type="dxa"/>
            <w:vAlign w:val="center"/>
          </w:tcPr>
          <w:p>
            <w:pPr>
              <w:spacing w:line="360" w:lineRule="auto"/>
              <w:jc w:val="center"/>
              <w:rPr>
                <w:rFonts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报价（含税）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6062" w:type="dxa"/>
            <w:tcBorders>
              <w:bottom w:val="single" w:color="auto" w:sz="4" w:space="0"/>
            </w:tcBorders>
            <w:vAlign w:val="center"/>
          </w:tcPr>
          <w:p>
            <w:pPr>
              <w:spacing w:line="480" w:lineRule="auto"/>
              <w:jc w:val="left"/>
              <w:rPr>
                <w:rFonts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8"/>
                <w:szCs w:val="28"/>
              </w:rPr>
              <w:t>2024-2025年度危化品汽车配件框架协议采购</w:t>
            </w:r>
          </w:p>
        </w:tc>
        <w:tc>
          <w:tcPr>
            <w:tcW w:w="4111" w:type="dxa"/>
            <w:tcBorders>
              <w:bottom w:val="single" w:color="auto" w:sz="4" w:space="0"/>
            </w:tcBorders>
            <w:vAlign w:val="center"/>
          </w:tcPr>
          <w:p>
            <w:pPr>
              <w:spacing w:line="480" w:lineRule="auto"/>
              <w:ind w:firstLine="480" w:firstLineChars="200"/>
              <w:jc w:val="left"/>
              <w:rPr>
                <w:rFonts w:ascii="方正仿宋简体" w:hAnsi="方正仿宋简体" w:eastAsia="方正仿宋简体" w:cs="方正仿宋简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62" w:type="dxa"/>
            <w:tcBorders>
              <w:top w:val="single" w:color="auto" w:sz="4" w:space="0"/>
              <w:left w:val="single" w:color="auto" w:sz="4" w:space="0"/>
              <w:bottom w:val="single" w:color="auto" w:sz="4" w:space="0"/>
              <w:right w:val="single" w:color="auto" w:sz="4" w:space="0"/>
            </w:tcBorders>
            <w:vAlign w:val="center"/>
          </w:tcPr>
          <w:p>
            <w:pPr>
              <w:spacing w:line="480" w:lineRule="auto"/>
              <w:jc w:val="left"/>
              <w:rPr>
                <w:rFonts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服务期限：</w:t>
            </w:r>
            <w:r>
              <w:rPr>
                <w:rFonts w:hint="eastAsia" w:ascii="方正仿宋简体" w:hAnsi="方正仿宋简体" w:eastAsia="方正仿宋简体" w:cs="方正仿宋简体"/>
                <w:color w:val="000000"/>
                <w:kern w:val="0"/>
                <w:sz w:val="24"/>
                <w:szCs w:val="24"/>
              </w:rPr>
              <w:t>2024.3.1-2025.12.31</w:t>
            </w:r>
          </w:p>
        </w:tc>
        <w:tc>
          <w:tcPr>
            <w:tcW w:w="4111" w:type="dxa"/>
            <w:tcBorders>
              <w:top w:val="single" w:color="auto" w:sz="4" w:space="0"/>
              <w:left w:val="single" w:color="auto" w:sz="4" w:space="0"/>
              <w:bottom w:val="single" w:color="auto" w:sz="4" w:space="0"/>
              <w:right w:val="single" w:color="auto" w:sz="4" w:space="0"/>
            </w:tcBorders>
            <w:vAlign w:val="center"/>
          </w:tcPr>
          <w:p>
            <w:pPr>
              <w:spacing w:line="480" w:lineRule="auto"/>
              <w:jc w:val="left"/>
              <w:rPr>
                <w:rFonts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报价有效期：</w:t>
            </w:r>
            <w:r>
              <w:rPr>
                <w:rFonts w:hint="eastAsia" w:ascii="方正仿宋简体" w:hAnsi="方正仿宋简体" w:eastAsia="方正仿宋简体" w:cs="方正仿宋简体"/>
                <w:color w:val="000000"/>
                <w:kern w:val="0"/>
                <w:sz w:val="24"/>
                <w:szCs w:val="24"/>
              </w:rPr>
              <w:t>2024.3.1-2025.12.31</w:t>
            </w:r>
          </w:p>
          <w:p>
            <w:pPr>
              <w:pStyle w:val="2"/>
              <w:rPr>
                <w:sz w:val="24"/>
                <w:szCs w:val="24"/>
              </w:rPr>
            </w:pPr>
          </w:p>
          <w:p>
            <w:pPr>
              <w:pStyle w:val="2"/>
              <w:rPr>
                <w:sz w:val="24"/>
                <w:szCs w:val="24"/>
              </w:rPr>
            </w:pPr>
          </w:p>
          <w:p>
            <w:pPr>
              <w:spacing w:line="480" w:lineRule="auto"/>
              <w:jc w:val="left"/>
              <w:rPr>
                <w:rFonts w:ascii="方正仿宋简体" w:hAnsi="方正仿宋简体" w:eastAsia="方正仿宋简体" w:cs="方正仿宋简体"/>
                <w:bCs/>
                <w:sz w:val="24"/>
                <w:szCs w:val="24"/>
              </w:rPr>
            </w:pPr>
            <w:r>
              <w:rPr>
                <w:rFonts w:hint="eastAsia" w:ascii="方正仿宋简体" w:hAnsi="方正仿宋简体" w:eastAsia="方正仿宋简体" w:cs="方正仿宋简体"/>
                <w:color w:val="000000"/>
                <w:kern w:val="0"/>
                <w:sz w:val="24"/>
                <w:szCs w:val="24"/>
              </w:rPr>
              <w:t>2024.1.1-2024.12.312024.1.1-2024.12.31</w:t>
            </w:r>
          </w:p>
        </w:tc>
      </w:tr>
    </w:tbl>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2"/>
        <w:rPr>
          <w:rFonts w:hint="eastAsia" w:ascii="方正仿宋简体" w:hAnsi="方正仿宋简体" w:eastAsia="方正仿宋简体" w:cs="方正仿宋简体"/>
          <w:kern w:val="1"/>
          <w:sz w:val="32"/>
          <w:szCs w:val="32"/>
        </w:rPr>
      </w:pPr>
    </w:p>
    <w:p>
      <w:pPr>
        <w:pStyle w:val="2"/>
        <w:rPr>
          <w:rFonts w:hint="eastAsia" w:ascii="方正仿宋简体" w:hAnsi="方正仿宋简体" w:eastAsia="方正仿宋简体" w:cs="方正仿宋简体"/>
          <w:kern w:val="1"/>
          <w:sz w:val="32"/>
          <w:szCs w:val="32"/>
        </w:rPr>
      </w:pPr>
    </w:p>
    <w:p>
      <w:pPr>
        <w:pStyle w:val="2"/>
        <w:rPr>
          <w:rFonts w:hint="eastAsia" w:ascii="方正仿宋简体" w:hAnsi="方正仿宋简体" w:eastAsia="方正仿宋简体" w:cs="方正仿宋简体"/>
          <w:kern w:val="1"/>
          <w:sz w:val="32"/>
          <w:szCs w:val="32"/>
        </w:rPr>
      </w:pPr>
    </w:p>
    <w:p>
      <w:pPr>
        <w:pStyle w:val="2"/>
        <w:rPr>
          <w:rFonts w:hint="eastAsia" w:ascii="方正仿宋简体" w:hAnsi="方正仿宋简体" w:eastAsia="方正仿宋简体" w:cs="方正仿宋简体"/>
          <w:kern w:val="1"/>
          <w:sz w:val="32"/>
          <w:szCs w:val="32"/>
        </w:rPr>
      </w:pPr>
    </w:p>
    <w:p>
      <w:pPr>
        <w:pStyle w:val="2"/>
        <w:rPr>
          <w:rFonts w:hint="eastAsia" w:ascii="方正仿宋简体" w:hAnsi="方正仿宋简体" w:eastAsia="方正仿宋简体" w:cs="方正仿宋简体"/>
          <w:kern w:val="1"/>
          <w:sz w:val="32"/>
          <w:szCs w:val="32"/>
        </w:rPr>
      </w:pPr>
    </w:p>
    <w:p>
      <w:pPr>
        <w:pStyle w:val="2"/>
        <w:rPr>
          <w:rFonts w:hint="eastAsia" w:ascii="方正仿宋简体" w:hAnsi="方正仿宋简体" w:eastAsia="方正仿宋简体" w:cs="方正仿宋简体"/>
          <w:kern w:val="1"/>
          <w:sz w:val="32"/>
          <w:szCs w:val="32"/>
        </w:rPr>
      </w:pPr>
    </w:p>
    <w:p>
      <w:pPr>
        <w:pStyle w:val="2"/>
        <w:rPr>
          <w:rFonts w:hint="eastAsia" w:ascii="方正仿宋简体" w:hAnsi="方正仿宋简体" w:eastAsia="方正仿宋简体" w:cs="方正仿宋简体"/>
          <w:kern w:val="1"/>
          <w:sz w:val="32"/>
          <w:szCs w:val="32"/>
        </w:rPr>
      </w:pPr>
    </w:p>
    <w:p>
      <w:pPr>
        <w:pStyle w:val="2"/>
        <w:rPr>
          <w:rFonts w:hint="eastAsia" w:ascii="方正仿宋简体" w:hAnsi="方正仿宋简体" w:eastAsia="方正仿宋简体" w:cs="方正仿宋简体"/>
          <w:kern w:val="1"/>
          <w:sz w:val="32"/>
          <w:szCs w:val="32"/>
        </w:rPr>
      </w:pPr>
    </w:p>
    <w:p>
      <w:pPr>
        <w:pStyle w:val="2"/>
        <w:rPr>
          <w:rFonts w:hint="eastAsia" w:ascii="方正仿宋简体" w:hAnsi="方正仿宋简体" w:eastAsia="方正仿宋简体" w:cs="方正仿宋简体"/>
          <w:kern w:val="1"/>
          <w:sz w:val="32"/>
          <w:szCs w:val="32"/>
        </w:rPr>
      </w:pPr>
    </w:p>
    <w:p>
      <w:pPr>
        <w:pStyle w:val="2"/>
        <w:rPr>
          <w:rFonts w:hint="eastAsia" w:ascii="方正仿宋简体" w:hAnsi="方正仿宋简体" w:eastAsia="方正仿宋简体" w:cs="方正仿宋简体"/>
          <w:kern w:val="1"/>
          <w:sz w:val="32"/>
          <w:szCs w:val="32"/>
        </w:rPr>
      </w:pPr>
    </w:p>
    <w:p>
      <w:pPr>
        <w:pStyle w:val="2"/>
        <w:rPr>
          <w:rFonts w:hint="eastAsia" w:ascii="方正仿宋简体" w:hAnsi="方正仿宋简体" w:eastAsia="方正仿宋简体" w:cs="方正仿宋简体"/>
          <w:kern w:val="1"/>
          <w:sz w:val="32"/>
          <w:szCs w:val="32"/>
        </w:rPr>
      </w:pPr>
    </w:p>
    <w:p>
      <w:pPr>
        <w:pStyle w:val="2"/>
        <w:rPr>
          <w:rFonts w:hint="eastAsia" w:ascii="方正仿宋简体" w:hAnsi="方正仿宋简体" w:eastAsia="方正仿宋简体" w:cs="方正仿宋简体"/>
          <w:kern w:val="1"/>
          <w:sz w:val="32"/>
          <w:szCs w:val="32"/>
        </w:rPr>
      </w:pPr>
    </w:p>
    <w:p>
      <w:pPr>
        <w:pStyle w:val="2"/>
        <w:rPr>
          <w:rFonts w:hint="eastAsia" w:ascii="方正仿宋简体" w:hAnsi="方正仿宋简体" w:eastAsia="方正仿宋简体" w:cs="方正仿宋简体"/>
          <w:kern w:val="1"/>
          <w:sz w:val="32"/>
          <w:szCs w:val="32"/>
        </w:rPr>
      </w:pPr>
    </w:p>
    <w:p>
      <w:pPr>
        <w:pStyle w:val="2"/>
        <w:rPr>
          <w:rFonts w:hint="eastAsia" w:ascii="方正仿宋简体" w:hAnsi="方正仿宋简体" w:eastAsia="方正仿宋简体" w:cs="方正仿宋简体"/>
          <w:kern w:val="1"/>
          <w:sz w:val="32"/>
          <w:szCs w:val="32"/>
        </w:rPr>
      </w:pPr>
    </w:p>
    <w:p>
      <w:pPr>
        <w:pStyle w:val="2"/>
        <w:rPr>
          <w:rFonts w:hint="eastAsia" w:ascii="方正仿宋简体" w:hAnsi="方正仿宋简体" w:eastAsia="方正仿宋简体" w:cs="方正仿宋简体"/>
          <w:kern w:val="1"/>
          <w:sz w:val="32"/>
          <w:szCs w:val="32"/>
        </w:rPr>
      </w:pPr>
    </w:p>
    <w:p>
      <w:pPr>
        <w:widowControl/>
        <w:jc w:val="center"/>
        <w:textAlignment w:val="bottom"/>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2024-2025年度危化品汽车配件框架协议</w:t>
      </w:r>
    </w:p>
    <w:p>
      <w:pPr>
        <w:pStyle w:val="2"/>
        <w:jc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采购报价货物清单</w:t>
      </w:r>
    </w:p>
    <w:p>
      <w:pPr>
        <w:pStyle w:val="2"/>
        <w:tabs>
          <w:tab w:val="left" w:pos="323"/>
        </w:tabs>
        <w:jc w:val="left"/>
        <w:rPr>
          <w:rFonts w:hint="eastAsia" w:ascii="方正小标宋简体" w:hAnsi="方正小标宋简体" w:eastAsia="方正小标宋简体" w:cs="方正小标宋简体"/>
          <w:color w:val="000000"/>
          <w:kern w:val="0"/>
          <w:sz w:val="36"/>
          <w:szCs w:val="36"/>
          <w:lang w:eastAsia="zh-CN"/>
        </w:rPr>
      </w:pPr>
      <w:r>
        <w:rPr>
          <w:rFonts w:hint="eastAsia" w:ascii="方正小标宋简体" w:hAnsi="方正小标宋简体" w:eastAsia="方正小标宋简体" w:cs="方正小标宋简体"/>
          <w:color w:val="000000"/>
          <w:kern w:val="0"/>
          <w:sz w:val="36"/>
          <w:szCs w:val="36"/>
          <w:lang w:eastAsia="zh-CN"/>
        </w:rPr>
        <w:tab/>
      </w:r>
    </w:p>
    <w:tbl>
      <w:tblPr>
        <w:tblStyle w:val="13"/>
        <w:tblW w:w="51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7"/>
        <w:gridCol w:w="2451"/>
        <w:gridCol w:w="3037"/>
        <w:gridCol w:w="757"/>
        <w:gridCol w:w="759"/>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标的名称</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型号</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单价 （含税）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“不燃气体”铝牌</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正方形  2类</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“不燃气体”贴</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正方形  2类</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“热”字反光贴</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“易燃气体”铝牌</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正方形  2类</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“易燃气体”贴</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正方形  2类</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7芯ABS螺旋线</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原厂</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7芯线总成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原厂</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8#液力传动油</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1.8L</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90锁环</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9cm平盖板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钢板16厚</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ABS插座</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J6五芯</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ABS齿圈</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ABS传感器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ABS挂车阀</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ABS继动阀</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ABS调控器总成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ABS五芯线总成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原厂</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AB胶</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AOLIN字标</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AOLIN</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BS6.5尿素泵总成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FAW天然气机油</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18L</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LED插泡</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LED大灯光源</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欧曼GTL</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LED灯管</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LED灯芯</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LED后尾灯</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O型圈</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105*3.1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U型螺丝</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24*9*38长挂车</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U型螺丝</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24*15*36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V推总成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奥威</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安全出口灯</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安全带插座</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摆臂总成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48A</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半挂储气筒</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700*300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半圆挡泥板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单轮</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半轴导管螺母</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九吨</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半轴垫</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10孔</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半轴螺丝</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半轴油封</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60*72*10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半轴油封</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65*80*12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半轴油封</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66*77*8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半轴油封</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49*100*8/10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半轴油封</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74*156*17.5/22.2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保护咀</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350A</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保险带</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可检测</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保险杠</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AOLIN</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保险杠</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保险杠上饰条</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保险杠装饰条</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保险片</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保险片</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5A 中</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保险丝</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30A</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备胎架</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变光开关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变速杆防尘套</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变速杆防尘套</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新大威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变速杆手柄球头</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新大威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变速杆手球柄</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变速器二轴</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FST</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变速器二轴二档齿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FST</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变速器上盖总成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FST</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变速箱大盖</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法士特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变速箱垫</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D302800300481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变速箱堵头</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拨叉修理包</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波纹管</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波纹管</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波纹管</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110*380 J6L</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波纹管</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320长新大威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玻璃窗摇把</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CA151/AOWEI</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玻璃胶</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HT918A 400ml</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玻璃胶条</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玻璃升降器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玻璃升降器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龙V</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玻璃升降器开关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玻璃升降器开关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不锈钢变向接头</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DN20*15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不锈钢插销</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操纵器总成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豪瀚</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侧灯</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黄24V</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侧转向灯</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插线座</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GN</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豪瀚</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刹车滚轮</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M51/大力神</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刹车滚轮*38</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刹车盒垫片</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刹车气管</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刹车气管</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150CM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刹车气管</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定制1.8M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刹车蹄拉簧</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 富华桥</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800g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听</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刹车真空助力泵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WSL600P</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差速器后轴承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差速器螺丝</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差速器盆角齿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498桥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差速器前轴承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差速器油封</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88*142*20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柴机油</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R3 CI-4/50 4L</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柴机油</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十万公里6L</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柴机油</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R3 CI-4/50 18L</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柴机油</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18L CI 10W30/10万公里</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柴机油</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一汽18L/十万公里</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柴机油</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CK-4/10W40/18L金桶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柴机油</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18L/10万公里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CX0708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CX0710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DX150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FS1280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FF5612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FS1212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FG200-1105140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FS20169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81DM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VG1540080110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FS1003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612630080087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15800-110510C</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1117011-L20PA</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柴滤座</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柴油防凝剂</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325ml</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听</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柴油管</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车辆限速控制器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新大威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车门贴纸</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FAW左右</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车速传感器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奥铃</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车速信号设置器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车厢底板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车厢合页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插销式</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车箱板0.6*3.2</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车箱支脚</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挂车加长</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车用尿素液</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国五10kg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车用尿素液</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国六10kg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车用尿素液</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10kg</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车载逆变器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24V</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橙色标贴</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15cm*50米/卷</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GL-5/90 18L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18L领航版长效</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冲压弯头</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Φ89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充电夹子</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出水软管</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听</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传动轴过桥总成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Φ65大天锦</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传动轴螺母</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传动轴凸缘</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传动轴凸缘叉</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180*4*52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传动轴总成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180*4*52*650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传感器插头</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传感器插头</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二线/旋钮口</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从动齿轮</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打气泵管</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大半圆挡泥板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大半圆挡泥板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大盖拨叉波口肖</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FL6*30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大盖总成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12JS160A/J6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单H阀</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尖 HW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单H阀</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单保险盒</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陶瓷</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单开</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单体泵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单推调整修理包</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125长</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弹簧制动缸(后分泵）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XDW/J6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氮氧传感器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博世2.2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氮氧传感器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挡块</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挡泥板支架</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挡泥板支架</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挡泥板支架底座</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导电咀</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导向轴承</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倒车灯开关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倒车灯开关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倒车蜂鸣器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倒车镜</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倒车镜</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新天龙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倒车镜镜片</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倒车镜总成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倒车喇叭</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倒车转向喇叭</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灯泡</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H4P45圆</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灯泡</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H7 24V</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灯泡 </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 24V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东风多利卡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点烟器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24V</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电动车轮胎</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电动窗开关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电动窗开关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豪沃</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电动窗开关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TIANV/LW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天V</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电动升降器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徐工吊车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电动锁体</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电动外摆门泵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JLZB</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电风扇</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电焊条</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EDC17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EDC17CV44-54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100正角</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120正锥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150正角</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180正角</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电瓶盖</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电瓶盖卡扣</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电瓶夹子</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1号大</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电瓶铜鼻子</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500A</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30平/米</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电瓶线</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35平方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电瓶桩头</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银合金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电气喇叭</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24V</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国标1.0 60米</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电箱</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电源盒总成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电子边灯</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新长方 LED</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电子边灯</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小南挂</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电子灯芯</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4寸圆红/防水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电子灯芯</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4寸圆黄/防水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电子灯芯</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4寸圆白/防水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电子后尾灯</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电子后尾灯</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巨能王</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电子后尾灯</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斯太尔</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电子后尾灯</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三吨王</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电子后尾灯</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STE</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电子后尾灯</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天锦</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电子机油传感器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电子牌照灯</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电子雾灯</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红140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电子油门踏板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吊架螺丝</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16*95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碟刹压板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29126钢筋</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碟刹制动块</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BPW</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对接</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对接</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对接</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惰轮</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J6-36D</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惰轮</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二档齿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 1701251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二轴螺母</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二轴凸缘</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二轴油封</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90*115*12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二轴油封</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456510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二轴油封</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95.25*114.3*20 一体</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二轴油封</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WP10-336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YCJFZ2701X</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12VQL</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发电机皮带</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A610LI</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发电机皮带</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WP10-336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发电机皮带</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发电机皮带</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8PK1694 /天V</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发电机皮带</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8PK2256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发电机皮带</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8PK2358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发电机支撑螺栓</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发电机支架</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发动机大修包</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56D</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发动机电脑版</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天V</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发动机后胶垫</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发动机后胶垫</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发动机进油管</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WP10-336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发动机前胶垫</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发动机前胶垫</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发动机线路总成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法兰面后支撑螺丝</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 塑料5*15带孔</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塑料5*15带孔</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小三角</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小尾板</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大尾板</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20*113挂车</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反光标贴</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反光贴</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黄绿</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反光贴</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50米/卷 国标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泛光灯具</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方镜</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新天龙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3411010-X141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方向机滤</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方向机油封</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26*37*7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方向机油管</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1.1米好</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方向机轴套</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新大威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方向滤芯</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方向盘总成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天V</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方向助力泵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方向助力泵</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220V-16A</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防尘盘</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富华16T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防尘套</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多利卡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回天9KG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18KG</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防火罩</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防火罩</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防火罩</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防火罩</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防火罩</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M80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防火罩</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防水贴</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防雾灯(XDW)</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放水开关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斯太尔</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放水开关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STE</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放水开关</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9T</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放水开关/排污阀</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放油螺丝</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飞轮壳</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飞轮螺丝</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飞轮总成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分泵接头</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内18*16平</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分泵弯头</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φ22*12快插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分离拨叉</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分离拨叉</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分离轴承</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NT5742F2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分离轴承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81NZ4821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分离轴承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J75-1601030-7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分离轴承</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分离轴承</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风炮套筒</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风炮套筒</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风扇离合器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风扇皮带</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17A*982/天V</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风扇叶</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浮桥钢板总成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13*75*150长</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浮桥后钢板</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后二/75*13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腐蚀品牌</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8类</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腐字反光贴</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付水箱</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付水箱盖</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付箱大拔叉</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FST</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付箱同步器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FST</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副水箱</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龙V</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副水箱</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副箱顶盖</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感应内线</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干燥罐</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K171583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干燥器总成</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XDW/J6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干燥筒</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万安</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干燥筒</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瑞立</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干燥油水分离器</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DX-80260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钢板限位螺丝</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16*140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9.0*22.5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750-16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钢丝水管</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缸床</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缸床</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缸垫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YC4105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缸盖螺栓</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36D</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缸盖螺丝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短/LW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缸盖螺丝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长/LW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缸盖总成带气门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36D/J6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缸套</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J6/350马力</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缸体回油管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欧三XDW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高低档开关</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XDW/J6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高低档气管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6米</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高低音喇叭</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高度阀</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新大威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高度阀</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欧曼</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高温黄油</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2公斤</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听</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高压柴油管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2米</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高压柴油管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3.4米</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高压跨接管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高压气管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高压油管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工作踏板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共轨限压阀</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供油泵总成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CPN2.2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钴钻头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M6.2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挂车阀</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挂车气管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挂车锁头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JWZ</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挂车支腿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单动外置</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挂车支腿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联动28T</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挂车转盘</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宝华</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38MM</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管箍</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15国标</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管子钳</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贯通轴凸缘</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180*4*35*85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贯通轴油封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75*100*12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轨压传感器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滚轮</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M42 富华桥</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滚轮</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M63/153</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滚轮</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M61/J6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滚轮</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M48 悍威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滚轮</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M38斯太尔</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滚轮</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J6/M59</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滚轮</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M52/HW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滚轮</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M43 天龙</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滚轮轮肖</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扫地车</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滚轮轴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滚轮轴卡簧</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滚筒刷子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过渡箱螺丝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10*47</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过桥垫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过桥总成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东风多利卡</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海底阀气缸</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罐车</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60*7.2米</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焊丝50C</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行车制动灯开关</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联合重卡</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合金开孔器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合金开孔器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STE</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斯太尔</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16T</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DLM3000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1.58米豪沃</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XDW/J6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横球头修理包</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红胶</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85g</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后半轴螺丝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后半轴螺丝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后半轴螺丝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挂车单卡</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小金龙</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挂车双腔</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FH16T</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豪沃</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后刹车鼓</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后刹车鼓</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徐工吊车</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东风多利卡</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奥铃</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九平柴</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新奥威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富华13T</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小悍威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新AOWEI</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小HW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一汽悍威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新款J6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富华16T</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北奔重卡</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奥铃</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新天龙</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后刹车蹄拉簧</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190长457</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后刹车蹄肖锁片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16T</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电动车</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后挡泥板支架</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天龙</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后碟刹片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富华桥</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后钢板前支架</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后钢板销衬套</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37*30*74</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后钢板销衬套</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后钢板总成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22*90*4依次短</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后簧减震器总成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欧曼GTL</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后胶垫螺丝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12*35防松头</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后空气管总成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后轮挡泥板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后轮挡泥板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后轮挡泥板拉条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J6-500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后轮挡泥板支架</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后轮档泥皮</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重汽</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后轮档泥皮</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后轮防尘罩</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小金龙</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后轮防尘罩</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XJL</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后轮壳</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奥铃</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后轮壳</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后轮壳</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后轮壳</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290加大457</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后轮壳</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碟刹 富华</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后轮螺栓</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五吨王</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工程王</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红岩</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1061</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东风D9</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BPW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EQ153</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HY</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22*108碟刹新赛夫</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新悍威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JLSD</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后轮内轴承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J6/7821E</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后轮内轴承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后轮前挡泥板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J6-500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后轮上挡泥板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J6-500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后轮外油封</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光毛毡</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后轮外轴承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J6/7819E</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后轮油封</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153*175*13</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后轮油封</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104*135*9</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后轮油封</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165*186*14</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后轮油封</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160*180*13</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后轮油封</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127*147*11</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100*120*13</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后轮油封</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133.35*186*22</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后轮油封</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120*160*28.3</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后轮油封｛挂｝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后轮油封修理包</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汉德桥</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后轮油封座</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803750B免维护</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后偏心轴</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32*108</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后偏心轴</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32*157</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后桥刹车蹄底板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后桥差速器油封</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78*135*13/25</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后桥角齿螺母</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后桥壳</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富华桥16T</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后蹄铁销锁片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16T</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后调整臂</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后调整臂</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后调整臂</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九平柴</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后调整臂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后调整臂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JPC</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后调整臂</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3孔37齿</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后调整臂</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J6/奥威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后调整臂</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斯太尔</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后调整臂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J6/AOWEI</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后调整臂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XDW10齿</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后调整臂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19齿豪卡</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AOWEI</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AOLIN</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庆铃4K</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QL4K</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后制动蹄铁总成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FHQ16T</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后轴头盖</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后自动调整臂</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天锦</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后组合尾灯</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天龙</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化油器清洗剂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听</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环境温度传感器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BS6.5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环境温度传感器 </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环境温度传感器插头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BS6.5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换挡气缸修理包</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换挡球头</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欧曼</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换挡手柄球头</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新大威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换档杆总成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换档拉线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新大威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换档拉线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换档气缸</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FST</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换档气缸修理包</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FST</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2#/15Kg</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2#/15Kg </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15国标</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15/4分</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活接球阀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15/4分</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活塞</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J6/350马力</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活塞环</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单缸J6/350马力</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活塞冷却喷嘴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J6/350马力</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活塞肖</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J6/350马力</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活塞肖卡簧</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36D</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IH50-32-250包氟圈</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JX0710C2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JX0811A1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29D</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JX0818A</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JX0813A</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36D</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JX0810B</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JX1023A</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JX1008A</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江铃顺达</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LF16015</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JX0806H</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LF3349</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JX0810D</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1012011-11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JLSD</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5105504-0105</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61160070119</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LF16352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JLX-389</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81DF</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LF16175</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1012010-M18-054WF</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FL9080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S3694660A8108/10万公里</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WP10-336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机油粗滤器总成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1012010-E9300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机油感应塞</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NKR55/100P600P</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机油感应塞</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10*10*45CM 弯</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机油冷却器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机油冷却器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机油冷却器壳体</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1013011A36D</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机油散热器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J6/350马力</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集装箱密封条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1.5米*2厘米</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集装箱密封条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2.8米*2厘米</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计量阀</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FC700-1111B-61-A38</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计量喷射泵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E5700-120S340CYC</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继电器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2912</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继电器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四插/24V</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继电器插头</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新大威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继电器插座</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五插2914</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继动阀</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悍威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驾驶室安全带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驾驶室撑杆</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驾驶室电动泵</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驾驶室顶泵</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驾驶室顶泵</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驾驶室顶泵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驾驶室顶泵油管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驾驶室顶泵油管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80cm德龙</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驾驶室顶泵油管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2米/J6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驾驶室顶泵油管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J6/3.3米</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驾驶室后悬减震气囊</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驾驶室举升缸</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驾驶室前悬减震气囊</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天V</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驾驶室前悬总成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驾驶室手电动泵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CA151/TW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驾驶室液压锁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驾驶室液压锁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CA151/TW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驾驶室字牌</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AOLIN</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驾驶员座椅</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减震器胶套</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减震器螺丝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M16*150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减震器螺丝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角齿螺母</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C2402ZB-072夹式</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角齿螺母</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角齿凸缘</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180*4*8</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角齿凸缘</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中桥180*4*42*110高</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角齿凸缘</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角齿油封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AOLIN</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脚踏板护板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脚踏防滑板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接触器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接口垫</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83*100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接口垫</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金属120*143</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接口垫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四大</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CA151/LW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节温器壳</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新大威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节温器密封环</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紧急继动阀</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CA151挂车</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紧绳器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进气管后段总成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进气门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进气门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进气门座圈</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进气门座圈</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进气压力传感器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新大威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进气压力传感器接头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36D/J6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进气支管垫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进气支管垫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举升缸上轴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绝缘体</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350A</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卡箍</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φ19-29</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卡箍</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φ13-19</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卡箍</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32-44</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卡簧</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LC5T35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抗磨液压油</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HM46号/18L/桶</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抗磨液压油</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46#/170KG</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空挡开关</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空档开关</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2P32A</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2P63A</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3P63A</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空开漏电保护器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3P63A</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空开漏电保护器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4P100A</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PU1725</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K2025 </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江铃顺达</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JLSD</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K2124</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K2036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K2322</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K2136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PU2032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PU2137</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KP2337 </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PU2230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PU2437</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K2342 </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PU2841</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PU2845 </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PU2652</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PU2332</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K3038 </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PU2547 </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PU2738</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PU3046 </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K3046 </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PU3050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PU2841长效</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PU2750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1109060-2000-C00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PU2652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空滤壳</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PU2437/385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空滤壳</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空滤伸缩胶管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空滤调压阀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2845 TIANV</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空气处理单元总成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3515010-368-W </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空气干燥器总成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AOWEI</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空气加热器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空气流量计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JLSD</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空气流量器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WSL</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空气滤清器总成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欧曼GTL</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空气滤芯</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1109910-TL760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空调控制面板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CA151/TW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空调控制面板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空调滤</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空调滤芯</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13*1175Li</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LW/13*1050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13*1445 </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空心螺丝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M14*40长</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WP10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空压机出气铁管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空压机出气铁管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空压机缸盖</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3509010-671-0382</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空压机缸盖</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WP10-336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空压机缸盖</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空压机缸盖</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空压机回水管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3509020A671-0382</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空压机修理包</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欧二</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空压机修理包</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空压机修理包</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控制面板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XHW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控制面板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天V</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快插三通</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4*6*1/8</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快放阀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EQ153</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快接通</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快接通</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PC6-01一头牙 弯</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快接通</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快接通</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PC4-01一头牙 弯</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拉杆螺丝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20*140 </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拉杆螺丝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24*135</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喇叭按钮</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栏杆绳子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XHW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冷水表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25MM</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离合器分离轴承及座</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AOLIN</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离合器簧</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离合器壳</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 包芯纱</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AOLIN</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欧曼</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天龙旗舰版</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离合器压板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离合器压板总成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AOLIN</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离合器压板总成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离合器压盘</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 小孔</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离合器压盘</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离合器压盘</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欧曼</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离合器油管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4.2米J6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离合器油壶</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离合器助力器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东风多利卡</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离合器助力器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欧曼</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离合器助力器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离合器助力器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离合器助力器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DFDLK</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离合器助力器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东风天龙</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离合器助力器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离合器助力器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新大威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离合器总泵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离合器总泵</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离合器总泵</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多利卡</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离合器总泵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XDW/J6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离合器总泵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里程表传感器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里程表传感器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里程表传感器插头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里程表主从动齿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连动杆</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350A</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WP10-336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36D/J6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连杆瓦</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36D/J6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36D/J6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联轴器缓冲垫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6角</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六回路保护阀</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六角钻头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加长</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六角钻头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 加长</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六角钻头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轮眉</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螺母</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m8/8.8级</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螺母</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10*40 8.8级</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螺纹胶</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螺纹胶</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50g</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铝合金油箱</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滤芯工具</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马达</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YC4105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马达开关</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CA151/TW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美孚刹车油</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DOT4/500ml</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听</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门灯开关</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门镜</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门镜</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CA151/TW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闷盖垫</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3寸</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Φ24*44*10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免维护电池</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6-QW-120圆</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免维护电池</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6-QW-150圆</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免维护电池</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165正锥</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免维护电池</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6-QW-180 反锥 2S</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面板拉手</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面板锁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4KG</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磨光片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100*6*16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耐油管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φ8</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耐油管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耐油管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耐油管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内膨胀螺丝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8*80不锈钢</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尿素泵电机</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尿素泵回液管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尿素泵进液管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尿素泵滤清</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BS6.5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尿素泵滤清</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尿素泵线插头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尿素泵修理包</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尿素泵压力管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尿素泵总成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尿素管接头</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弯9.49/10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尿素加热电磁阀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尿素进液滤清</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BS6.5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尿素进液滤清</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尿素喷射管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尿素喷嘴</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博世6.5</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尿素喷嘴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尿素喷嘴插头</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博世2.2/6.5二线</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尿素箱盖</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尿素箱加热电磁阀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尿素箱温度传感器总成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尿素箱支架</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尿素箱总成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尿素压力传感器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尿素液</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10KG</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尿素液位传感器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3602525-76W-C00/C</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尿素液位温度传感器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牛角灯</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白LED 24V</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暖风电机</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暖风电机</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CA151（JW）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暖风电机</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AOWEI</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暖风电机</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CA151/TW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暖风电机总成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暖风电阻</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φ8硅胶</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Φ10硅胶</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Φ12硅胶</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φ16黑</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Φ14硅胶</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暖风开关</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暖风铝水管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暖风双铁管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天龙</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暖风水箱</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排气垫</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36D</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AOWEI</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KMS6L</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排气管接口垫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排气管卡箍</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 双槽</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排气管卡箍</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排气管卡箍</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M123</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排气管卡箍</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123/120双槽</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排气管螺丝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排气管中节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排气管中节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55A/J6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排气管中节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排气门座圈</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排气门座圈</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排气温度传感器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排气支管垫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排气支管垫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排气支管螺丝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排温传感器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牌照板固定板总成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牌照灯</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牌照灯</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南挂</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喷水电机</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喷水壶及电机</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喷油泵共轨进油管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盆型电喇叭</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50/24V单音</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盆型喇叭</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盆型喇叭</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双音24V</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M18</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A838Li</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13*737Li</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B1194</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13*1125Li</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B787Li</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13*1225La/1175Li</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8PK795</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AV15*1036Li</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3V770-9N1956La</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8PK1098</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V13*1180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YC80-8PK-1070B</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8PK1525</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8PK1418升级版</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V15*1025</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8PK2358升级版</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2/AV15*1785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皮带单轮</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皮带张紧轮</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皮带涨紧轮</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612600061332/XDW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平衡杆套</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2916447*2001/D</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平衡梁大销子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50*215*278</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平衡轴螺丝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14*55 电镀</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平面胶</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51213</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七孔插座</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七芯线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七芯线底座</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启动继电器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起动机</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 157PRC</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起动机(马达）</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起动机（马达）</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起动机（马达）</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WP10-336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起动机（马达）</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起动继电器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起动继电器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新大威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起动继电器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配BS/XDW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气泵垫</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欧二</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气泵钢丝管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120CM</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气泵钢丝管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1.2米J6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气动顶回油阀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100T</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气动顶助力器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100T4孔</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气动转阀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气缸床</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康明斯6L</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气缸床</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KMS6L</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气缸垫</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J6/350马力</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气管快接(自封阀）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气门导管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气门导管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气门垫</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 3959798</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J6/350马力</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YC4F</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气门室盖下框架</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36D/J6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气门室罩盖下框架垫</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36D</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气门推杆</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36D/J6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气压传感器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气压传感器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欧曼GTL</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气压传感器插头</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3插天龙</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汽车轴承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7608</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汽车轴承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7611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汽车轴承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7614</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汽机油</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4L 10W/40金嘉护</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听</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汽机油</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4L 5W/40磁护</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听</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汽轮机油</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46#/208L</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契行块</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前保险杠右部总成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前保险杠右上挡帘</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前保险杠中部总成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XDW/J6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碟刹欧曼</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悍威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碟刹 悍威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碟刹 赛龙</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碟刹龙V</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碟刹 HW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碟刹 大J6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前刹车蹄拉簧</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215长</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前车门下装饰板总成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前传动轴总成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前大灯</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AOLIN</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前大灯总成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前倒车镜支架</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前碟刹片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TL</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前翻转后套</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豪瀚</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前防雾灯</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前钢板销</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30*132</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前钢板销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前钢板销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前钢板销衬套</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31*25*74</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前钩</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16粗</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前后刹车泵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电瓶车</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前后刹车片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电瓶车</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CA151(JW）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前轮碟刹盘</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前轮碟刹片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前轮碟刹片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前轮后挡泥板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前轮壳</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前轮壳</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斯太尔</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五吨王</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豪沃</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工程王</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STE</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龙V</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碟刹J6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碟刹21*48</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140加长</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前轮内轴承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前轮调整臂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前轮外轴承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114.5*133*10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95*134*15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105*154*15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前桥减震器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前桥减震器螺丝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前调整臂</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10齿140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前调整臂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OM</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前围外板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前稳定杆胶套</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99100680068小</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前雾灯总成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AOLIN</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前雾灯总成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前悬架减震器接叉</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欧曼GTL</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前悬上限位块</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天龙</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前转向灯</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强力卡箍</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φ64</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强力卡箍</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φ123</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翘板开关</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喇叭</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球头修理包</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16T</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球头修理包</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WP10-336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曲轴后油封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曲轴前油封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曲轴瓦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曲轴瓦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曲轴位置传感器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曲轴止推片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曲轴止推片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全车垫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全车垫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全套垫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LC5T30ZD</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全铜快接通</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φ8白</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燃油粗滤芯(长寿命)</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SH4110219202A0/10万公里</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燃油计量单元</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燃油计量阀</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奥铃</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燃油滤清器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S3696765A8108/10万公里</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燃油滤清器芯</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1105050-2007/A</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燃油细滤器总成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1117010-E9300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燃字反光贴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润滑油（机油）</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SN 5W/40  1升/桶</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润滑油（机油）</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SN 10W/40/4升/桶</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润滑油（机油）</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SN 5W/40  4升/桶</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润滑脂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润滑脂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15KG</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三寸密封垫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罐车</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三档齿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LC5T350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三件套对接总成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三角发射器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三角牌</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三轮车坐垫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73*33</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散热器面罩</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散热器修理包</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J6/351马力</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扫盘盖板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中联扫地车</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闪光器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上挡泥皮</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升降器摇把</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十六路接线盒</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BX508</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实心轮</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230*145*50#8黑色橡胶</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示廓灯</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手柄球头</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12档法士特</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手刹拉杆</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五十铃100P</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手刹拉杆护罩</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五十铃100P</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手控阀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手油泵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疏水阀</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输油泵</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DEUTZ-BP4M2.12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数字水温表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双H阀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双H阀</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豪沃</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双H阀气管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双H阀铜接头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FST</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双H总成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铝12档96194-9C</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双联电磁阀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EQ153</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双头电风扇</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6寸24V特大电机</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水泵O型圈</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水泵皮带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13*900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水箱挡网总成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水箱盖</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水箱止漏剂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325ml</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听</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四回路保护阀</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奥威</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四回路保护阀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四配套</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36D</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四爪继电器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24V</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调压阀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AR2000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调整臂拉簧</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调整拉杆</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42长</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铁铆钉</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φ6*20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同步环</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5T304/5 4/5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同步器总成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FST</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铜摆块</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6G120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铜鼻子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铜鼻子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150A</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铜鼻子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250A</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铜铆钉</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凸轮轴位置传感器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外拉手</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外六角螺丝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8.8级16*30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外六角螺丝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 8.8级</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万向节</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万向节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万向节卡簧</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Φ52</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握手阀胶圈</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挂车</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#200*600*22层</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消声器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J6前置</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小风炮套筒</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24mm 加长</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小盖总成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铝12JS160T/J6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1143</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小镜总成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小射灯</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8寸 真空 24V</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新挂侧灯</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黄LED</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选档球头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选档球头</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液力传动油</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16升/桶</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液压翻转开关</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LC5T35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一轴油封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40557</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一轴油封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仪表总成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溢流阀</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FG200-1111-23-A38</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油底壳垫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6DM-420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油底壳放油螺丝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油底壳螺母</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38*58*12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45*70*12</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油封</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57*124*12/14</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油量计量阀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FF5327</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PL420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100P</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PL271/DC99</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FS19816  </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1117031-PA11</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FS20116 </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1125030-H02B0-SFG</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油水分离器座</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PL420带泵/高压</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油箱</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油箱垫带</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380L圆</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油箱盖</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庆铃</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1177</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油箱盖</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油箱紧固带</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400L</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油箱销子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有毒品牌</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正方形6类</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有毒气体牌</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正方形 2类</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圆镜</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圆锥滚子轴承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30307/7307E</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增压器卡箍</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φ110/D13-001-01+B</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闸刀</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GCPD-GTA8062YC</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1189</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J6-36D</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涨紧轮组件</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29D</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遮阳罩</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STE</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1194</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直拉杆总成</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东风多利卡</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DFDLK</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1196</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制动软管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50CM</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1198</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制动软管</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70CM</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制动软管</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1米</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中国一汽标志</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J6</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中网</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AOLIN</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16*140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重负荷齿轮油）</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85W-90 4升/桶</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重负荷齿轮油）</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85W-90 18升/桶</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6005ZZ</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32213/7513E</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7209/30209</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32211</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1211</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HM518445/10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32311X2A</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轴间差速器总成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8齿STE</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轴套</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IH50-32-250/316L</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1215</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轴头盖</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富华桥</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轴头盖</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BPW</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1217</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轴头盖胶圈</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富华桥</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1218</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转盘固定螺丝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1219</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转盘螺丝</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16*45</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1220</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转盘圆头螺丝</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内六角12*20</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1221</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转盘总成</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90B</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1222</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转子芯</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29D</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1223</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锥形垫</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EQ140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1224</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自动冲水阀</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40/50</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w:t>
            </w:r>
          </w:p>
        </w:tc>
        <w:tc>
          <w:tcPr>
            <w:tcW w:w="1398"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自燃物品牌</w:t>
            </w:r>
          </w:p>
        </w:tc>
        <w:tc>
          <w:tcPr>
            <w:tcW w:w="17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正方形4类</w:t>
            </w:r>
          </w:p>
        </w:tc>
        <w:tc>
          <w:tcPr>
            <w:tcW w:w="432" w:type="pct"/>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1226</w:t>
            </w:r>
          </w:p>
        </w:tc>
        <w:tc>
          <w:tcPr>
            <w:tcW w:w="1398"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自卸活动踏板</w:t>
            </w:r>
          </w:p>
        </w:tc>
        <w:tc>
          <w:tcPr>
            <w:tcW w:w="17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新J6</w:t>
            </w:r>
          </w:p>
        </w:tc>
        <w:tc>
          <w:tcPr>
            <w:tcW w:w="432"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33" w:type="pct"/>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bl>
    <w:p>
      <w:pPr>
        <w:spacing w:line="600" w:lineRule="exact"/>
        <w:jc w:val="left"/>
        <w:rPr>
          <w:rFonts w:ascii="方正仿宋简体" w:hAnsi="方正仿宋简体" w:eastAsia="方正仿宋简体" w:cs="方正仿宋简体"/>
          <w:b/>
          <w:bCs/>
          <w:color w:val="FF0000"/>
          <w:sz w:val="28"/>
          <w:szCs w:val="28"/>
        </w:rPr>
      </w:pPr>
      <w:r>
        <w:rPr>
          <w:rFonts w:hint="eastAsia" w:ascii="方正仿宋简体" w:hAnsi="方正仿宋简体" w:eastAsia="方正仿宋简体" w:cs="方正仿宋简体"/>
          <w:b/>
          <w:bCs/>
          <w:color w:val="FF0000"/>
          <w:kern w:val="0"/>
          <w:sz w:val="28"/>
          <w:szCs w:val="28"/>
        </w:rPr>
        <w:t>注：供货产品须满足国家CCC认证要求</w:t>
      </w:r>
      <w:r>
        <w:rPr>
          <w:rFonts w:hint="eastAsia" w:ascii="方正仿宋简体" w:hAnsi="方正仿宋简体" w:eastAsia="方正仿宋简体" w:cs="方正仿宋简体"/>
          <w:b/>
          <w:bCs/>
          <w:color w:val="FF0000"/>
          <w:sz w:val="28"/>
          <w:szCs w:val="28"/>
        </w:rPr>
        <w:t>。</w:t>
      </w:r>
    </w:p>
    <w:p>
      <w:pPr>
        <w:spacing w:line="600" w:lineRule="exact"/>
        <w:jc w:val="left"/>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rPr>
      </w:pPr>
    </w:p>
    <w:p>
      <w:pPr>
        <w:pStyle w:val="2"/>
        <w:rPr>
          <w:rFonts w:ascii="方正仿宋简体" w:hAnsi="方正仿宋简体" w:eastAsia="方正仿宋简体" w:cs="方正仿宋简体"/>
          <w:kern w:val="1"/>
        </w:rPr>
      </w:pPr>
    </w:p>
    <w:p>
      <w:pPr>
        <w:pStyle w:val="2"/>
        <w:rPr>
          <w:rFonts w:ascii="方正仿宋简体" w:hAnsi="方正仿宋简体" w:eastAsia="方正仿宋简体" w:cs="方正仿宋简体"/>
          <w:kern w:val="1"/>
        </w:rPr>
      </w:pPr>
    </w:p>
    <w:p>
      <w:pPr>
        <w:pStyle w:val="2"/>
        <w:rPr>
          <w:rFonts w:ascii="方正仿宋简体" w:hAnsi="方正仿宋简体" w:eastAsia="方正仿宋简体" w:cs="方正仿宋简体"/>
          <w:kern w:val="1"/>
        </w:rPr>
      </w:pPr>
    </w:p>
    <w:p>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5"/>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5"/>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5"/>
      </w:pPr>
    </w:p>
    <w:p>
      <w:pPr>
        <w:pStyle w:val="6"/>
      </w:pPr>
    </w:p>
    <w:p>
      <w:pPr>
        <w:pStyle w:val="6"/>
      </w:pPr>
    </w:p>
    <w:p>
      <w:pPr>
        <w:pStyle w:val="6"/>
      </w:pPr>
    </w:p>
    <w:p>
      <w:pPr>
        <w:pStyle w:val="6"/>
      </w:pPr>
    </w:p>
    <w:p>
      <w:pPr>
        <w:pStyle w:val="6"/>
      </w:pPr>
    </w:p>
    <w:p>
      <w:pPr>
        <w:pStyle w:val="6"/>
      </w:pPr>
    </w:p>
    <w:p>
      <w:pPr>
        <w:pStyle w:val="6"/>
      </w:pPr>
    </w:p>
    <w:p>
      <w:pPr>
        <w:pStyle w:val="11"/>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numPr>
          <w:ilvl w:val="0"/>
          <w:numId w:val="3"/>
        </w:numPr>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标的、数量、单价及交（提）货时间 </w:t>
      </w:r>
    </w:p>
    <w:tbl>
      <w:tblPr>
        <w:tblStyle w:val="13"/>
        <w:tblW w:w="91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2410"/>
        <w:gridCol w:w="992"/>
        <w:gridCol w:w="989"/>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2552" w:type="dxa"/>
            <w:vAlign w:val="center"/>
          </w:tcPr>
          <w:p>
            <w:pPr>
              <w:spacing w:line="4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标的名称</w:t>
            </w:r>
          </w:p>
        </w:tc>
        <w:tc>
          <w:tcPr>
            <w:tcW w:w="2410" w:type="dxa"/>
            <w:vAlign w:val="center"/>
          </w:tcPr>
          <w:p>
            <w:pPr>
              <w:spacing w:line="4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规格型号</w:t>
            </w:r>
          </w:p>
        </w:tc>
        <w:tc>
          <w:tcPr>
            <w:tcW w:w="992" w:type="dxa"/>
            <w:vAlign w:val="center"/>
          </w:tcPr>
          <w:p>
            <w:pPr>
              <w:spacing w:line="4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w:t>
            </w:r>
          </w:p>
        </w:tc>
        <w:tc>
          <w:tcPr>
            <w:tcW w:w="989" w:type="dxa"/>
            <w:vAlign w:val="center"/>
          </w:tcPr>
          <w:p>
            <w:pPr>
              <w:spacing w:line="4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数量</w:t>
            </w:r>
          </w:p>
        </w:tc>
        <w:tc>
          <w:tcPr>
            <w:tcW w:w="2202" w:type="dxa"/>
            <w:vAlign w:val="center"/>
          </w:tcPr>
          <w:p>
            <w:pPr>
              <w:spacing w:line="4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总额（元）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2552" w:type="dxa"/>
            <w:vAlign w:val="center"/>
          </w:tcPr>
          <w:p>
            <w:pPr>
              <w:spacing w:line="4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8"/>
                <w:szCs w:val="28"/>
              </w:rPr>
              <w:t>2024-2025年度危化品汽车配件框架协议采购</w:t>
            </w:r>
          </w:p>
        </w:tc>
        <w:tc>
          <w:tcPr>
            <w:tcW w:w="4391" w:type="dxa"/>
            <w:gridSpan w:val="3"/>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见附件</w:t>
            </w:r>
          </w:p>
          <w:p>
            <w:pPr>
              <w:spacing w:line="400" w:lineRule="exact"/>
              <w:jc w:val="center"/>
              <w:rPr>
                <w:rFonts w:ascii="方正仿宋简体" w:hAnsi="方正仿宋简体" w:eastAsia="方正仿宋简体" w:cs="方正仿宋简体"/>
                <w:sz w:val="32"/>
                <w:szCs w:val="32"/>
              </w:rPr>
            </w:pPr>
          </w:p>
        </w:tc>
        <w:tc>
          <w:tcPr>
            <w:tcW w:w="2202" w:type="dxa"/>
            <w:vAlign w:val="center"/>
          </w:tcPr>
          <w:p>
            <w:pPr>
              <w:spacing w:line="400" w:lineRule="exact"/>
              <w:jc w:val="center"/>
              <w:rPr>
                <w:rFonts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552"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交（提）货时间</w:t>
            </w:r>
          </w:p>
        </w:tc>
        <w:tc>
          <w:tcPr>
            <w:tcW w:w="6593" w:type="dxa"/>
            <w:gridSpan w:val="4"/>
            <w:vAlign w:val="center"/>
          </w:tcPr>
          <w:p>
            <w:pPr>
              <w:spacing w:line="400" w:lineRule="exac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合同签订后；中标单位在收到通知后当天送货到指定地点,特殊情况双方协商确定</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并且符合安全规范要求和技术标准，甲方所提供配件</w:t>
      </w:r>
      <w:r>
        <w:rPr>
          <w:rFonts w:hint="eastAsia" w:ascii="方正仿宋简体" w:hAnsi="方正仿宋简体" w:eastAsia="方正仿宋简体" w:cs="方正仿宋简体"/>
          <w:sz w:val="32"/>
          <w:szCs w:val="32"/>
        </w:rPr>
        <w:t>符合国家CCC认证要求。质保期符合行业标准。</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交（提）货时间、方式、地点及费用承担</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接到一级维护配件订单后30分钟内送到维修交货地；甲方接到二级维护配件订单后60分钟内送到维修交货地点；甲方接到专项维修配件订单后3小时内送到维修交货地点；特殊维修预约配件按期送到维修交货地点；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根据甲方提供的货物由乙方质检员当场验收使用，使用后如在货物质保期内出现任何问题由甲方负责更换（按违约责任第2条</w:t>
      </w:r>
      <w:r>
        <w:rPr>
          <w:rFonts w:hint="eastAsia" w:ascii="方正仿宋简体" w:hAnsi="方正仿宋简体" w:eastAsia="方正仿宋简体" w:cs="方正仿宋简体"/>
          <w:bCs/>
          <w:kern w:val="1"/>
          <w:sz w:val="32"/>
          <w:szCs w:val="32"/>
        </w:rPr>
        <w:t>处理</w:t>
      </w:r>
      <w:r>
        <w:rPr>
          <w:rFonts w:hint="eastAsia" w:ascii="方正仿宋简体" w:hAnsi="方正仿宋简体" w:eastAsia="方正仿宋简体" w:cs="方正仿宋简体"/>
          <w:sz w:val="32"/>
          <w:szCs w:val="32"/>
        </w:rPr>
        <w:t>）。</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4"/>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spacing w:line="600" w:lineRule="exact"/>
        <w:rPr>
          <w:rFonts w:ascii="方正仿宋简体" w:hAnsi="方正仿宋简体" w:eastAsia="方正仿宋简体" w:cs="方正仿宋简体"/>
          <w:sz w:val="32"/>
          <w:szCs w:val="32"/>
        </w:rPr>
      </w:pP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9" w:hRule="atLeast"/>
        </w:trPr>
        <w:tc>
          <w:tcPr>
            <w:tcW w:w="4536"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2024年 月 日</w:t>
            </w:r>
          </w:p>
        </w:tc>
        <w:tc>
          <w:tcPr>
            <w:tcW w:w="496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w:t>
      </w:r>
      <w:r>
        <w:rPr>
          <w:rFonts w:hint="eastAsia" w:ascii="方正仿宋简体" w:hAnsi="方正仿宋简体" w:eastAsia="方正仿宋简体" w:cs="方正仿宋简体"/>
          <w:sz w:val="32"/>
          <w:szCs w:val="32"/>
        </w:rPr>
        <w:t>GT</w:t>
      </w:r>
      <w:r>
        <w:rPr>
          <w:rFonts w:ascii="方正仿宋简体" w:hAnsi="方正仿宋简体" w:eastAsia="方正仿宋简体" w:cs="方正仿宋简体"/>
          <w:sz w:val="32"/>
          <w:szCs w:val="32"/>
        </w:rPr>
        <w:t>-E-2024</w:t>
      </w:r>
      <w:r>
        <w:rPr>
          <w:rFonts w:hint="eastAsia" w:ascii="方正仿宋简体" w:hAnsi="方正仿宋简体" w:eastAsia="方正仿宋简体" w:cs="方正仿宋简体"/>
          <w:sz w:val="32"/>
          <w:szCs w:val="32"/>
        </w:rPr>
        <w:t>-00**）合同签章页。</w:t>
      </w:r>
    </w:p>
    <w:p>
      <w:pPr>
        <w:rPr>
          <w:rFonts w:ascii="方正仿宋简体" w:hAnsi="方正仿宋简体" w:eastAsia="方正仿宋简体" w:cs="方正仿宋简体"/>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711CEF-8E2A-485A-8969-22785B29C0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59FDBBD-5168-4525-B942-C51B9B4EF0D6}"/>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FE058A13-4CDD-472C-BC1A-EA9DE05AE988}"/>
  </w:font>
  <w:font w:name="方正楷体_GBK">
    <w:panose1 w:val="03000509000000000000"/>
    <w:charset w:val="86"/>
    <w:family w:val="script"/>
    <w:pitch w:val="default"/>
    <w:sig w:usb0="00000001" w:usb1="080E0000" w:usb2="00000000" w:usb3="00000000" w:csb0="00040000" w:csb1="00000000"/>
    <w:embedRegular r:id="rId4" w:fontKey="{B865A426-7FAD-4A21-91F7-2347B5A9E6EE}"/>
  </w:font>
  <w:font w:name="ÑÚSå">
    <w:altName w:val="Arial"/>
    <w:panose1 w:val="00000000000000000000"/>
    <w:charset w:val="00"/>
    <w:family w:val="auto"/>
    <w:pitch w:val="default"/>
    <w:sig w:usb0="00000000" w:usb1="00000000" w:usb2="00000000" w:usb3="00000000" w:csb0="00040001" w:csb1="00000000"/>
    <w:embedRegular r:id="rId5" w:fontKey="{48357483-5331-4C07-A960-2B727B17B1F4}"/>
  </w:font>
  <w:font w:name="仿宋">
    <w:panose1 w:val="02010609060101010101"/>
    <w:charset w:val="86"/>
    <w:family w:val="modern"/>
    <w:pitch w:val="default"/>
    <w:sig w:usb0="800002BF" w:usb1="38CF7CFA" w:usb2="00000016" w:usb3="00000000" w:csb0="00040001" w:csb1="00000000"/>
    <w:embedRegular r:id="rId6" w:fontKey="{B476F5ED-CE39-4A04-83E9-76BFD72510C8}"/>
  </w:font>
  <w:font w:name="方正仿宋_GBK">
    <w:panose1 w:val="03000509000000000000"/>
    <w:charset w:val="86"/>
    <w:family w:val="script"/>
    <w:pitch w:val="default"/>
    <w:sig w:usb0="00000001" w:usb1="080E0000" w:usb2="00000000" w:usb3="00000000" w:csb0="00040000" w:csb1="00000000"/>
    <w:embedRegular r:id="rId7" w:fontKey="{551D9414-5EF9-46C5-B3AB-92CA033711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rect id="文本框 2"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9"/>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pPr>
    <w:r>
      <w:rPr>
        <w:rFonts w:hint="eastAsia"/>
      </w:rPr>
      <w:t>镇江海纳川公铁运输有限公司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87AE7"/>
    <w:multiLevelType w:val="singleLevel"/>
    <w:tmpl w:val="DCD87AE7"/>
    <w:lvl w:ilvl="0" w:tentative="0">
      <w:start w:val="1"/>
      <w:numFmt w:val="chineseCounting"/>
      <w:suff w:val="space"/>
      <w:lvlText w:val="第%1条"/>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30F87"/>
    <w:rsid w:val="000310BC"/>
    <w:rsid w:val="00035056"/>
    <w:rsid w:val="0003693D"/>
    <w:rsid w:val="00046AF6"/>
    <w:rsid w:val="00063E06"/>
    <w:rsid w:val="00065E18"/>
    <w:rsid w:val="00095132"/>
    <w:rsid w:val="00097F4B"/>
    <w:rsid w:val="000A22DB"/>
    <w:rsid w:val="000B2499"/>
    <w:rsid w:val="000C1845"/>
    <w:rsid w:val="000C3EC7"/>
    <w:rsid w:val="000D348B"/>
    <w:rsid w:val="000D353E"/>
    <w:rsid w:val="000D6A23"/>
    <w:rsid w:val="00103A8D"/>
    <w:rsid w:val="00115EEC"/>
    <w:rsid w:val="00120A88"/>
    <w:rsid w:val="001260B7"/>
    <w:rsid w:val="00134486"/>
    <w:rsid w:val="00136B0D"/>
    <w:rsid w:val="00160290"/>
    <w:rsid w:val="0016363D"/>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2532D"/>
    <w:rsid w:val="00240103"/>
    <w:rsid w:val="0024696A"/>
    <w:rsid w:val="002B3E65"/>
    <w:rsid w:val="002C7537"/>
    <w:rsid w:val="002E336F"/>
    <w:rsid w:val="002F51AC"/>
    <w:rsid w:val="002F66BD"/>
    <w:rsid w:val="0031037C"/>
    <w:rsid w:val="00313EBC"/>
    <w:rsid w:val="003152BD"/>
    <w:rsid w:val="00325814"/>
    <w:rsid w:val="00331F42"/>
    <w:rsid w:val="00335329"/>
    <w:rsid w:val="00341EB9"/>
    <w:rsid w:val="00345E7E"/>
    <w:rsid w:val="00355E41"/>
    <w:rsid w:val="003702A0"/>
    <w:rsid w:val="003732C8"/>
    <w:rsid w:val="00380BAA"/>
    <w:rsid w:val="0038382E"/>
    <w:rsid w:val="00383D99"/>
    <w:rsid w:val="00384194"/>
    <w:rsid w:val="00394D6B"/>
    <w:rsid w:val="003B4E51"/>
    <w:rsid w:val="003C384A"/>
    <w:rsid w:val="00413897"/>
    <w:rsid w:val="00420CB4"/>
    <w:rsid w:val="00423C19"/>
    <w:rsid w:val="004424E8"/>
    <w:rsid w:val="004425BC"/>
    <w:rsid w:val="00463EBA"/>
    <w:rsid w:val="004642B4"/>
    <w:rsid w:val="00466243"/>
    <w:rsid w:val="004875EB"/>
    <w:rsid w:val="004975D5"/>
    <w:rsid w:val="004A5359"/>
    <w:rsid w:val="004C0D37"/>
    <w:rsid w:val="004C1280"/>
    <w:rsid w:val="004C289D"/>
    <w:rsid w:val="004F384B"/>
    <w:rsid w:val="004F5E27"/>
    <w:rsid w:val="005142FA"/>
    <w:rsid w:val="00527733"/>
    <w:rsid w:val="0053268D"/>
    <w:rsid w:val="00537A65"/>
    <w:rsid w:val="00560EB5"/>
    <w:rsid w:val="005633CB"/>
    <w:rsid w:val="0058559E"/>
    <w:rsid w:val="005941EE"/>
    <w:rsid w:val="005D4F71"/>
    <w:rsid w:val="005F5916"/>
    <w:rsid w:val="005F7D9B"/>
    <w:rsid w:val="006015C2"/>
    <w:rsid w:val="006051C0"/>
    <w:rsid w:val="0061433F"/>
    <w:rsid w:val="006545BB"/>
    <w:rsid w:val="006734DC"/>
    <w:rsid w:val="006835A9"/>
    <w:rsid w:val="00693CB5"/>
    <w:rsid w:val="006B498D"/>
    <w:rsid w:val="006C09FB"/>
    <w:rsid w:val="006D00BD"/>
    <w:rsid w:val="006D3CEC"/>
    <w:rsid w:val="006D5E62"/>
    <w:rsid w:val="006E4DE8"/>
    <w:rsid w:val="0070428B"/>
    <w:rsid w:val="00711ACD"/>
    <w:rsid w:val="00724955"/>
    <w:rsid w:val="007254B5"/>
    <w:rsid w:val="00725B2E"/>
    <w:rsid w:val="00731BA8"/>
    <w:rsid w:val="00745DDD"/>
    <w:rsid w:val="00746466"/>
    <w:rsid w:val="00753CD1"/>
    <w:rsid w:val="00781AF0"/>
    <w:rsid w:val="00786EDE"/>
    <w:rsid w:val="007875CD"/>
    <w:rsid w:val="00795D83"/>
    <w:rsid w:val="007D12CA"/>
    <w:rsid w:val="007D3B2F"/>
    <w:rsid w:val="007D630F"/>
    <w:rsid w:val="007E0D6B"/>
    <w:rsid w:val="007E17DE"/>
    <w:rsid w:val="007E1B98"/>
    <w:rsid w:val="007E6E47"/>
    <w:rsid w:val="00802F4A"/>
    <w:rsid w:val="00804D3E"/>
    <w:rsid w:val="008127B4"/>
    <w:rsid w:val="00823974"/>
    <w:rsid w:val="0083404A"/>
    <w:rsid w:val="008408C6"/>
    <w:rsid w:val="00842B41"/>
    <w:rsid w:val="00856599"/>
    <w:rsid w:val="00857C14"/>
    <w:rsid w:val="00882A3F"/>
    <w:rsid w:val="00885219"/>
    <w:rsid w:val="008A7E03"/>
    <w:rsid w:val="008B33B1"/>
    <w:rsid w:val="008C785B"/>
    <w:rsid w:val="008D2F65"/>
    <w:rsid w:val="008D5377"/>
    <w:rsid w:val="008E5E25"/>
    <w:rsid w:val="008F5564"/>
    <w:rsid w:val="00900A5B"/>
    <w:rsid w:val="00907D63"/>
    <w:rsid w:val="0091028A"/>
    <w:rsid w:val="0093613E"/>
    <w:rsid w:val="00975ECA"/>
    <w:rsid w:val="0098053C"/>
    <w:rsid w:val="00981E93"/>
    <w:rsid w:val="009A29A7"/>
    <w:rsid w:val="009C7CE7"/>
    <w:rsid w:val="009D1883"/>
    <w:rsid w:val="009D21BB"/>
    <w:rsid w:val="009D5895"/>
    <w:rsid w:val="00A136C5"/>
    <w:rsid w:val="00A30621"/>
    <w:rsid w:val="00A30F77"/>
    <w:rsid w:val="00A41CBC"/>
    <w:rsid w:val="00A42D2D"/>
    <w:rsid w:val="00A43591"/>
    <w:rsid w:val="00A47E98"/>
    <w:rsid w:val="00A63D7F"/>
    <w:rsid w:val="00A7381A"/>
    <w:rsid w:val="00A81560"/>
    <w:rsid w:val="00AA207F"/>
    <w:rsid w:val="00AB6095"/>
    <w:rsid w:val="00AC569D"/>
    <w:rsid w:val="00AD229C"/>
    <w:rsid w:val="00AD747D"/>
    <w:rsid w:val="00AF29F9"/>
    <w:rsid w:val="00B01341"/>
    <w:rsid w:val="00B0144D"/>
    <w:rsid w:val="00B14267"/>
    <w:rsid w:val="00B171A3"/>
    <w:rsid w:val="00B25B73"/>
    <w:rsid w:val="00B32837"/>
    <w:rsid w:val="00B353E5"/>
    <w:rsid w:val="00B42190"/>
    <w:rsid w:val="00B51C96"/>
    <w:rsid w:val="00B63039"/>
    <w:rsid w:val="00B7406B"/>
    <w:rsid w:val="00B74619"/>
    <w:rsid w:val="00B82A10"/>
    <w:rsid w:val="00B82CED"/>
    <w:rsid w:val="00B83D41"/>
    <w:rsid w:val="00B9652E"/>
    <w:rsid w:val="00B97765"/>
    <w:rsid w:val="00BA640B"/>
    <w:rsid w:val="00BA722E"/>
    <w:rsid w:val="00BB5CBB"/>
    <w:rsid w:val="00BD78FB"/>
    <w:rsid w:val="00BE1967"/>
    <w:rsid w:val="00BF2809"/>
    <w:rsid w:val="00C2100D"/>
    <w:rsid w:val="00C258E8"/>
    <w:rsid w:val="00C31E40"/>
    <w:rsid w:val="00C41533"/>
    <w:rsid w:val="00C56465"/>
    <w:rsid w:val="00C7241E"/>
    <w:rsid w:val="00C743A3"/>
    <w:rsid w:val="00C97848"/>
    <w:rsid w:val="00C97E7F"/>
    <w:rsid w:val="00CC79ED"/>
    <w:rsid w:val="00CE6F08"/>
    <w:rsid w:val="00D13F76"/>
    <w:rsid w:val="00D163BE"/>
    <w:rsid w:val="00D24639"/>
    <w:rsid w:val="00D32CC0"/>
    <w:rsid w:val="00D52B4B"/>
    <w:rsid w:val="00D634BA"/>
    <w:rsid w:val="00D74586"/>
    <w:rsid w:val="00D84546"/>
    <w:rsid w:val="00DA002C"/>
    <w:rsid w:val="00DC1EF9"/>
    <w:rsid w:val="00DD194E"/>
    <w:rsid w:val="00DD7DB9"/>
    <w:rsid w:val="00DF25B3"/>
    <w:rsid w:val="00E06C12"/>
    <w:rsid w:val="00E224BD"/>
    <w:rsid w:val="00E2759B"/>
    <w:rsid w:val="00E30627"/>
    <w:rsid w:val="00E35EE3"/>
    <w:rsid w:val="00E45A9C"/>
    <w:rsid w:val="00E50D02"/>
    <w:rsid w:val="00E54A0E"/>
    <w:rsid w:val="00E61805"/>
    <w:rsid w:val="00E74639"/>
    <w:rsid w:val="00E9659A"/>
    <w:rsid w:val="00EB7745"/>
    <w:rsid w:val="00ED1B47"/>
    <w:rsid w:val="00F0109D"/>
    <w:rsid w:val="00F16E4B"/>
    <w:rsid w:val="00F3267A"/>
    <w:rsid w:val="00F32DB5"/>
    <w:rsid w:val="00F33B17"/>
    <w:rsid w:val="00F45B42"/>
    <w:rsid w:val="00F54AE9"/>
    <w:rsid w:val="00F7251B"/>
    <w:rsid w:val="00F75185"/>
    <w:rsid w:val="00F85286"/>
    <w:rsid w:val="00FA1409"/>
    <w:rsid w:val="00FB1F61"/>
    <w:rsid w:val="00FF1217"/>
    <w:rsid w:val="00FF497F"/>
    <w:rsid w:val="00FF61CA"/>
    <w:rsid w:val="08826623"/>
    <w:rsid w:val="09E67744"/>
    <w:rsid w:val="0CA76E15"/>
    <w:rsid w:val="0CCD460E"/>
    <w:rsid w:val="11E467E9"/>
    <w:rsid w:val="1444244B"/>
    <w:rsid w:val="14EA645D"/>
    <w:rsid w:val="15B0590B"/>
    <w:rsid w:val="17035AAC"/>
    <w:rsid w:val="19181A3A"/>
    <w:rsid w:val="1C091215"/>
    <w:rsid w:val="1D0257C5"/>
    <w:rsid w:val="20B41DEC"/>
    <w:rsid w:val="216E14AA"/>
    <w:rsid w:val="225D796E"/>
    <w:rsid w:val="24EC6623"/>
    <w:rsid w:val="288A5E45"/>
    <w:rsid w:val="29DC4AF8"/>
    <w:rsid w:val="2A98798D"/>
    <w:rsid w:val="2BBD3669"/>
    <w:rsid w:val="2DD51314"/>
    <w:rsid w:val="2E16582B"/>
    <w:rsid w:val="2E4116FA"/>
    <w:rsid w:val="2F882093"/>
    <w:rsid w:val="31262BAF"/>
    <w:rsid w:val="31DE35EB"/>
    <w:rsid w:val="330F093A"/>
    <w:rsid w:val="34E37CA8"/>
    <w:rsid w:val="359E47FF"/>
    <w:rsid w:val="35B72FCB"/>
    <w:rsid w:val="35DA3E68"/>
    <w:rsid w:val="36E674AE"/>
    <w:rsid w:val="379A3E49"/>
    <w:rsid w:val="38B97744"/>
    <w:rsid w:val="391E61C3"/>
    <w:rsid w:val="3F3D735A"/>
    <w:rsid w:val="3FEC0C0F"/>
    <w:rsid w:val="40D519B8"/>
    <w:rsid w:val="416D2207"/>
    <w:rsid w:val="43EC12FF"/>
    <w:rsid w:val="44366C11"/>
    <w:rsid w:val="44E509D4"/>
    <w:rsid w:val="46825CD1"/>
    <w:rsid w:val="47E3380A"/>
    <w:rsid w:val="481B4154"/>
    <w:rsid w:val="48C113A7"/>
    <w:rsid w:val="4ADD1BA1"/>
    <w:rsid w:val="4B0853C3"/>
    <w:rsid w:val="4DC0511E"/>
    <w:rsid w:val="4FAC5BC3"/>
    <w:rsid w:val="4FC61FF0"/>
    <w:rsid w:val="50846203"/>
    <w:rsid w:val="538763B9"/>
    <w:rsid w:val="540463E4"/>
    <w:rsid w:val="55DC546E"/>
    <w:rsid w:val="5782334D"/>
    <w:rsid w:val="579C3951"/>
    <w:rsid w:val="57F90679"/>
    <w:rsid w:val="596D6B7C"/>
    <w:rsid w:val="5B0142DB"/>
    <w:rsid w:val="5CEC747F"/>
    <w:rsid w:val="5CFF1962"/>
    <w:rsid w:val="5DDA4712"/>
    <w:rsid w:val="5DED2786"/>
    <w:rsid w:val="66202ABE"/>
    <w:rsid w:val="66441755"/>
    <w:rsid w:val="66CF713B"/>
    <w:rsid w:val="683F6E19"/>
    <w:rsid w:val="68961ACE"/>
    <w:rsid w:val="69C166FE"/>
    <w:rsid w:val="6AE467D8"/>
    <w:rsid w:val="6D9745DB"/>
    <w:rsid w:val="6E416369"/>
    <w:rsid w:val="726141AB"/>
    <w:rsid w:val="7406451D"/>
    <w:rsid w:val="756A3232"/>
    <w:rsid w:val="75C23CBB"/>
    <w:rsid w:val="77DF544D"/>
    <w:rsid w:val="782E2AD6"/>
    <w:rsid w:val="783458C3"/>
    <w:rsid w:val="79F62347"/>
    <w:rsid w:val="7A1E0C67"/>
    <w:rsid w:val="7AB45E8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
    <w:autoRedefine/>
    <w:qFormat/>
    <w:uiPriority w:val="99"/>
    <w:pPr>
      <w:keepNext/>
      <w:keepLines/>
      <w:spacing w:line="600" w:lineRule="exact"/>
      <w:jc w:val="center"/>
      <w:outlineLvl w:val="0"/>
    </w:pPr>
    <w:rPr>
      <w:rFonts w:ascii="Calibri" w:hAnsi="Calibri"/>
      <w:kern w:val="44"/>
      <w:sz w:val="44"/>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10 磅7"/>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annotation text"/>
    <w:basedOn w:val="1"/>
    <w:link w:val="18"/>
    <w:autoRedefine/>
    <w:qFormat/>
    <w:uiPriority w:val="0"/>
    <w:pPr>
      <w:jc w:val="left"/>
    </w:pPr>
    <w:rPr>
      <w:rFonts w:ascii="Calibri" w:hAnsi="Calibri"/>
    </w:rPr>
  </w:style>
  <w:style w:type="paragraph" w:styleId="5">
    <w:name w:val="Body Text"/>
    <w:basedOn w:val="1"/>
    <w:next w:val="6"/>
    <w:link w:val="21"/>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rPr>
  </w:style>
  <w:style w:type="paragraph" w:styleId="7">
    <w:name w:val="Body Text Indent"/>
    <w:basedOn w:val="1"/>
    <w:autoRedefine/>
    <w:unhideWhenUsed/>
    <w:qFormat/>
    <w:uiPriority w:val="0"/>
    <w:pPr>
      <w:spacing w:after="120"/>
      <w:ind w:left="420" w:leftChars="200"/>
    </w:pPr>
  </w:style>
  <w:style w:type="paragraph" w:styleId="8">
    <w:name w:val="Balloon Text"/>
    <w:basedOn w:val="1"/>
    <w:link w:val="20"/>
    <w:autoRedefine/>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autoRedefine/>
    <w:qFormat/>
    <w:uiPriority w:val="99"/>
    <w:pPr>
      <w:ind w:firstLine="420" w:firstLineChars="200"/>
    </w:pPr>
  </w:style>
  <w:style w:type="paragraph" w:customStyle="1" w:styleId="16">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autoRedefine/>
    <w:qFormat/>
    <w:uiPriority w:val="34"/>
    <w:pPr>
      <w:ind w:firstLine="420" w:firstLineChars="200"/>
    </w:pPr>
  </w:style>
  <w:style w:type="character" w:customStyle="1" w:styleId="18">
    <w:name w:val="批注文字 Char"/>
    <w:basedOn w:val="14"/>
    <w:link w:val="4"/>
    <w:autoRedefine/>
    <w:qFormat/>
    <w:uiPriority w:val="0"/>
    <w:rPr>
      <w:rFonts w:cs="Times New Roman"/>
      <w:kern w:val="2"/>
      <w:sz w:val="21"/>
    </w:rPr>
  </w:style>
  <w:style w:type="character" w:customStyle="1" w:styleId="19">
    <w:name w:val="标题 1 Char"/>
    <w:basedOn w:val="14"/>
    <w:link w:val="3"/>
    <w:autoRedefine/>
    <w:qFormat/>
    <w:uiPriority w:val="99"/>
    <w:rPr>
      <w:rFonts w:cs="Times New Roman"/>
      <w:kern w:val="44"/>
      <w:sz w:val="44"/>
    </w:rPr>
  </w:style>
  <w:style w:type="character" w:customStyle="1" w:styleId="20">
    <w:name w:val="批注框文本 Char"/>
    <w:basedOn w:val="14"/>
    <w:link w:val="8"/>
    <w:autoRedefine/>
    <w:qFormat/>
    <w:uiPriority w:val="0"/>
    <w:rPr>
      <w:rFonts w:ascii="Times New Roman" w:hAnsi="Times New Roman" w:cs="Times New Roman"/>
      <w:kern w:val="2"/>
      <w:sz w:val="18"/>
      <w:szCs w:val="18"/>
    </w:rPr>
  </w:style>
  <w:style w:type="character" w:customStyle="1" w:styleId="21">
    <w:name w:val="正文文本 Char"/>
    <w:basedOn w:val="14"/>
    <w:link w:val="5"/>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3265</Words>
  <Characters>18613</Characters>
  <Lines>155</Lines>
  <Paragraphs>43</Paragraphs>
  <TotalTime>0</TotalTime>
  <ScaleCrop>false</ScaleCrop>
  <LinksUpToDate>false</LinksUpToDate>
  <CharactersWithSpaces>21835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2024-03-04T05:35:20Z</dcterms:modified>
  <dc:title>镇江海纳川物流产业发展有限责任公司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0373C6ED8BB2450EAEAD1C80B6D9CC60_13</vt:lpwstr>
  </property>
</Properties>
</file>