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20240308海纳川公司办公室步进式开水器采购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194"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254"/>
        <w:gridCol w:w="1132"/>
        <w:gridCol w:w="2838"/>
        <w:gridCol w:w="707"/>
        <w:gridCol w:w="422"/>
        <w:gridCol w:w="557"/>
        <w:gridCol w:w="1159"/>
        <w:gridCol w:w="115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3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35" w:type="pct"/>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品牌</w:t>
            </w:r>
          </w:p>
        </w:tc>
        <w:tc>
          <w:tcPr>
            <w:tcW w:w="2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94" w:type="pct"/>
            <w:vAlign w:val="center"/>
          </w:tcPr>
          <w:p>
            <w:pPr>
              <w:rPr>
                <w:rFonts w:ascii="宋体" w:hAnsi="宋体" w:cs="宋体"/>
                <w:color w:val="000000"/>
                <w:sz w:val="16"/>
                <w:szCs w:val="16"/>
              </w:rPr>
            </w:pPr>
            <w:r>
              <w:rPr>
                <w:rFonts w:hint="eastAsia"/>
                <w:color w:val="000000"/>
                <w:sz w:val="16"/>
                <w:szCs w:val="16"/>
              </w:rPr>
              <w:t>步进式开水器</w:t>
            </w:r>
          </w:p>
        </w:tc>
        <w:tc>
          <w:tcPr>
            <w:tcW w:w="536" w:type="pct"/>
            <w:vAlign w:val="center"/>
          </w:tcPr>
          <w:p>
            <w:pPr>
              <w:rPr>
                <w:rFonts w:ascii="宋体" w:hAnsi="宋体" w:cs="宋体"/>
                <w:color w:val="000000"/>
                <w:sz w:val="16"/>
                <w:szCs w:val="16"/>
              </w:rPr>
            </w:pPr>
          </w:p>
        </w:tc>
        <w:tc>
          <w:tcPr>
            <w:tcW w:w="1344" w:type="pct"/>
            <w:vAlign w:val="center"/>
          </w:tcPr>
          <w:p>
            <w:pPr>
              <w:rPr>
                <w:rFonts w:ascii="宋体" w:hAnsi="宋体" w:cs="宋体"/>
                <w:color w:val="000000"/>
                <w:sz w:val="16"/>
                <w:szCs w:val="16"/>
              </w:rPr>
            </w:pPr>
            <w:r>
              <w:rPr>
                <w:rFonts w:hint="eastAsia"/>
                <w:color w:val="000000"/>
                <w:sz w:val="16"/>
                <w:szCs w:val="16"/>
              </w:rPr>
              <w:t>100L、电压:380V、功率：9KW、配三级过滤器：第1级致密PP棉、第2级前置活性炭、第3级后置活性炭，滤除各种杂质吸附异味异色余氯等有害物，304不锈钢内胆及外壳、数显、双龙头、带底座、全自动进水、冷热分层、防干烧、节能保温</w:t>
            </w:r>
          </w:p>
        </w:tc>
        <w:tc>
          <w:tcPr>
            <w:tcW w:w="335" w:type="pct"/>
          </w:tcPr>
          <w:p>
            <w:pPr>
              <w:jc w:val="center"/>
              <w:rPr>
                <w:rFonts w:hint="eastAsia"/>
                <w:color w:val="000000"/>
                <w:sz w:val="16"/>
                <w:szCs w:val="16"/>
              </w:rPr>
            </w:pPr>
            <w:r>
              <w:rPr>
                <w:rFonts w:hint="eastAsia"/>
                <w:color w:val="000000"/>
                <w:sz w:val="16"/>
                <w:szCs w:val="16"/>
              </w:rPr>
              <w:t>康佳、德玛仕</w:t>
            </w:r>
          </w:p>
        </w:tc>
        <w:tc>
          <w:tcPr>
            <w:tcW w:w="200" w:type="pct"/>
            <w:vAlign w:val="center"/>
          </w:tcPr>
          <w:p>
            <w:pPr>
              <w:jc w:val="center"/>
              <w:rPr>
                <w:rFonts w:ascii="宋体" w:hAnsi="宋体" w:cs="宋体"/>
                <w:color w:val="000000"/>
                <w:sz w:val="16"/>
                <w:szCs w:val="16"/>
              </w:rPr>
            </w:pPr>
            <w:r>
              <w:rPr>
                <w:rFonts w:hint="eastAsia"/>
                <w:color w:val="000000"/>
                <w:sz w:val="16"/>
                <w:szCs w:val="16"/>
              </w:rPr>
              <w:t>套</w:t>
            </w:r>
          </w:p>
        </w:tc>
        <w:tc>
          <w:tcPr>
            <w:tcW w:w="264" w:type="pct"/>
            <w:vAlign w:val="center"/>
          </w:tcPr>
          <w:p>
            <w:pPr>
              <w:jc w:val="center"/>
              <w:rPr>
                <w:rFonts w:ascii="宋体" w:hAnsi="宋体" w:cs="宋体"/>
                <w:color w:val="000000"/>
                <w:sz w:val="16"/>
                <w:szCs w:val="16"/>
              </w:rPr>
            </w:pPr>
            <w:r>
              <w:rPr>
                <w:rFonts w:hint="eastAsia"/>
                <w:color w:val="000000"/>
                <w:sz w:val="16"/>
                <w:szCs w:val="16"/>
              </w:rPr>
              <w:t>1</w:t>
            </w:r>
          </w:p>
        </w:tc>
        <w:tc>
          <w:tcPr>
            <w:tcW w:w="549" w:type="pct"/>
            <w:vAlign w:val="center"/>
          </w:tcPr>
          <w:p>
            <w:pPr>
              <w:widowControl/>
              <w:spacing w:line="0" w:lineRule="atLeast"/>
              <w:jc w:val="center"/>
              <w:rPr>
                <w:rFonts w:ascii="方正仿宋简体" w:hAnsi="方正仿宋简体" w:eastAsia="方正仿宋简体" w:cs="方正仿宋简体"/>
                <w:szCs w:val="21"/>
              </w:rPr>
            </w:pPr>
          </w:p>
        </w:tc>
        <w:tc>
          <w:tcPr>
            <w:tcW w:w="548" w:type="pct"/>
            <w:vAlign w:val="center"/>
          </w:tcPr>
          <w:p>
            <w:pPr>
              <w:widowControl/>
              <w:spacing w:line="0" w:lineRule="atLeast"/>
              <w:jc w:val="center"/>
              <w:rPr>
                <w:rFonts w:ascii="方正仿宋简体" w:hAnsi="方正仿宋简体" w:eastAsia="方正仿宋简体" w:cs="方正仿宋简体"/>
                <w:szCs w:val="21"/>
              </w:rPr>
            </w:pPr>
          </w:p>
        </w:tc>
        <w:tc>
          <w:tcPr>
            <w:tcW w:w="36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94" w:type="pct"/>
            <w:vAlign w:val="center"/>
          </w:tcPr>
          <w:p>
            <w:pPr>
              <w:rPr>
                <w:rFonts w:ascii="宋体" w:hAnsi="宋体" w:cs="宋体"/>
                <w:color w:val="000000"/>
                <w:sz w:val="16"/>
                <w:szCs w:val="16"/>
              </w:rPr>
            </w:pPr>
            <w:r>
              <w:rPr>
                <w:rFonts w:hint="eastAsia"/>
                <w:color w:val="000000"/>
                <w:sz w:val="16"/>
                <w:szCs w:val="16"/>
              </w:rPr>
              <w:t>步进式开水器</w:t>
            </w:r>
          </w:p>
        </w:tc>
        <w:tc>
          <w:tcPr>
            <w:tcW w:w="536" w:type="pct"/>
            <w:vAlign w:val="center"/>
          </w:tcPr>
          <w:p>
            <w:pPr>
              <w:rPr>
                <w:rFonts w:ascii="宋体" w:hAnsi="宋体" w:cs="宋体"/>
                <w:color w:val="000000"/>
                <w:sz w:val="16"/>
                <w:szCs w:val="16"/>
              </w:rPr>
            </w:pPr>
          </w:p>
        </w:tc>
        <w:tc>
          <w:tcPr>
            <w:tcW w:w="1344" w:type="pct"/>
            <w:vAlign w:val="center"/>
          </w:tcPr>
          <w:p>
            <w:pPr>
              <w:rPr>
                <w:rFonts w:ascii="宋体" w:hAnsi="宋体" w:cs="宋体"/>
                <w:color w:val="000000"/>
                <w:sz w:val="16"/>
                <w:szCs w:val="16"/>
              </w:rPr>
            </w:pPr>
            <w:r>
              <w:rPr>
                <w:rFonts w:hint="eastAsia"/>
                <w:color w:val="000000"/>
                <w:sz w:val="16"/>
                <w:szCs w:val="16"/>
              </w:rPr>
              <w:t>200L、电压:380V、功率：18KW、配三级过滤器：第1级致密PP棉、第2级前置活性炭、第3级后置活性炭，滤除各种杂质吸附异味异色余氯等有害物，304不锈钢内胆及外壳、数显、双龙头、带底座、全自动进水、冷热分层、防干烧、节能保温</w:t>
            </w:r>
          </w:p>
        </w:tc>
        <w:tc>
          <w:tcPr>
            <w:tcW w:w="335" w:type="pct"/>
          </w:tcPr>
          <w:p>
            <w:pPr>
              <w:jc w:val="center"/>
              <w:rPr>
                <w:rFonts w:hint="eastAsia"/>
                <w:color w:val="000000"/>
                <w:sz w:val="16"/>
                <w:szCs w:val="16"/>
              </w:rPr>
            </w:pPr>
            <w:r>
              <w:rPr>
                <w:rFonts w:hint="eastAsia"/>
                <w:color w:val="000000"/>
                <w:sz w:val="16"/>
                <w:szCs w:val="16"/>
              </w:rPr>
              <w:t>康佳、德玛仕</w:t>
            </w:r>
          </w:p>
        </w:tc>
        <w:tc>
          <w:tcPr>
            <w:tcW w:w="200" w:type="pct"/>
            <w:vAlign w:val="center"/>
          </w:tcPr>
          <w:p>
            <w:pPr>
              <w:jc w:val="center"/>
              <w:rPr>
                <w:rFonts w:ascii="宋体" w:hAnsi="宋体" w:cs="宋体"/>
                <w:color w:val="000000"/>
                <w:sz w:val="16"/>
                <w:szCs w:val="16"/>
              </w:rPr>
            </w:pPr>
            <w:r>
              <w:rPr>
                <w:rFonts w:hint="eastAsia"/>
                <w:color w:val="000000"/>
                <w:sz w:val="16"/>
                <w:szCs w:val="16"/>
              </w:rPr>
              <w:t>套</w:t>
            </w:r>
          </w:p>
        </w:tc>
        <w:tc>
          <w:tcPr>
            <w:tcW w:w="264" w:type="pct"/>
            <w:vAlign w:val="center"/>
          </w:tcPr>
          <w:p>
            <w:pPr>
              <w:jc w:val="center"/>
              <w:rPr>
                <w:rFonts w:ascii="宋体" w:hAnsi="宋体" w:cs="宋体"/>
                <w:color w:val="000000"/>
                <w:sz w:val="16"/>
                <w:szCs w:val="16"/>
              </w:rPr>
            </w:pPr>
            <w:r>
              <w:rPr>
                <w:rFonts w:hint="eastAsia"/>
                <w:color w:val="000000"/>
                <w:sz w:val="16"/>
                <w:szCs w:val="16"/>
              </w:rPr>
              <w:t>1</w:t>
            </w:r>
          </w:p>
        </w:tc>
        <w:tc>
          <w:tcPr>
            <w:tcW w:w="549" w:type="pct"/>
            <w:vAlign w:val="center"/>
          </w:tcPr>
          <w:p>
            <w:pPr>
              <w:widowControl/>
              <w:spacing w:line="0" w:lineRule="atLeast"/>
              <w:jc w:val="center"/>
              <w:rPr>
                <w:rFonts w:ascii="方正仿宋简体" w:hAnsi="方正仿宋简体" w:eastAsia="方正仿宋简体" w:cs="方正仿宋简体"/>
                <w:szCs w:val="21"/>
              </w:rPr>
            </w:pPr>
          </w:p>
        </w:tc>
        <w:tc>
          <w:tcPr>
            <w:tcW w:w="548" w:type="pct"/>
            <w:vAlign w:val="center"/>
          </w:tcPr>
          <w:p>
            <w:pPr>
              <w:widowControl/>
              <w:spacing w:line="0" w:lineRule="atLeast"/>
              <w:jc w:val="center"/>
              <w:rPr>
                <w:rFonts w:ascii="方正仿宋简体" w:hAnsi="方正仿宋简体" w:eastAsia="方正仿宋简体" w:cs="方正仿宋简体"/>
                <w:szCs w:val="21"/>
              </w:rPr>
            </w:pPr>
          </w:p>
        </w:tc>
        <w:tc>
          <w:tcPr>
            <w:tcW w:w="36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73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335" w:type="pct"/>
          </w:tcPr>
          <w:p>
            <w:pPr>
              <w:widowControl/>
              <w:spacing w:line="0" w:lineRule="atLeast"/>
              <w:jc w:val="left"/>
              <w:rPr>
                <w:rFonts w:ascii="方正仿宋简体" w:hAnsi="方正仿宋简体" w:eastAsia="方正仿宋简体" w:cs="方正仿宋简体"/>
                <w:sz w:val="28"/>
                <w:szCs w:val="28"/>
              </w:rPr>
            </w:pPr>
          </w:p>
        </w:tc>
        <w:tc>
          <w:tcPr>
            <w:tcW w:w="192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7733"/>
    <w:rsid w:val="0053268D"/>
    <w:rsid w:val="00560EB5"/>
    <w:rsid w:val="005633CB"/>
    <w:rsid w:val="0058559E"/>
    <w:rsid w:val="0058595D"/>
    <w:rsid w:val="005B0B5B"/>
    <w:rsid w:val="005D4F71"/>
    <w:rsid w:val="005D7EAF"/>
    <w:rsid w:val="005E0624"/>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F54"/>
    <w:rsid w:val="008127B4"/>
    <w:rsid w:val="00821BB3"/>
    <w:rsid w:val="00823974"/>
    <w:rsid w:val="00830EF5"/>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475C"/>
    <w:rsid w:val="00AD747D"/>
    <w:rsid w:val="00AE4612"/>
    <w:rsid w:val="00AF2577"/>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5270D1F"/>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661E11"/>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5F445-75EC-4A30-BAC7-9789B300A5B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1110</Words>
  <Characters>6331</Characters>
  <Lines>52</Lines>
  <Paragraphs>14</Paragraphs>
  <TotalTime>0</TotalTime>
  <ScaleCrop>false</ScaleCrop>
  <LinksUpToDate>false</LinksUpToDate>
  <CharactersWithSpaces>7427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2024-03-19T06:46:05Z</dcterms:modified>
  <dc:title>镇江海纳川物流产业发展有限责任公司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