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lang w:eastAsia="zh-CN"/>
        </w:rPr>
        <w:t>江苏兴普物贸有限公司</w:t>
      </w:r>
    </w:p>
    <w:p>
      <w:pPr>
        <w:pStyle w:val="4"/>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招标文件</w:t>
      </w:r>
    </w:p>
    <w:p>
      <w:pPr>
        <w:spacing w:line="600" w:lineRule="exact"/>
        <w:ind w:firstLine="640" w:firstLineChars="200"/>
        <w:rPr>
          <w:rFonts w:hint="eastAsia" w:eastAsia="方正仿宋简体"/>
          <w:lang w:eastAsia="zh-CN"/>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rPr>
        <w:t>自主</w:t>
      </w:r>
      <w:r>
        <w:rPr>
          <w:rFonts w:hint="eastAsia" w:ascii="方正仿宋简体" w:hAnsi="方正仿宋简体" w:eastAsia="方正仿宋简体" w:cs="方正仿宋简体"/>
          <w:bCs/>
          <w:color w:val="FF0000"/>
          <w:sz w:val="32"/>
          <w:szCs w:val="32"/>
          <w:lang w:val="zh-CN"/>
        </w:rPr>
        <w:t>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欢迎具有相关资质的厂商前来投标</w:t>
      </w:r>
      <w:r>
        <w:rPr>
          <w:rFonts w:hint="eastAsia" w:ascii="方正仿宋简体" w:hAnsi="方正仿宋简体" w:eastAsia="方正仿宋简体" w:cs="方正仿宋简体"/>
          <w:sz w:val="32"/>
          <w:szCs w:val="32"/>
          <w:highlight w:val="none"/>
          <w:lang w:eastAsia="zh-CN"/>
        </w:rPr>
        <w:t>。</w:t>
      </w:r>
    </w:p>
    <w:p>
      <w:pPr>
        <w:wordWrap w:val="0"/>
        <w:spacing w:line="360" w:lineRule="auto"/>
        <w:ind w:firstLine="640" w:firstLineChars="200"/>
        <w:jc w:val="left"/>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一、报价须知</w:t>
      </w:r>
    </w:p>
    <w:p>
      <w:pPr>
        <w:spacing w:line="600" w:lineRule="exact"/>
        <w:ind w:firstLine="640" w:firstLineChars="200"/>
        <w:jc w:val="both"/>
        <w:rPr>
          <w:rFonts w:hint="eastAsia" w:ascii="方正仿宋简体" w:hAnsi="方正仿宋简体" w:eastAsia="方正仿宋简体" w:cs="方正仿宋简体"/>
          <w:bCs/>
          <w:sz w:val="32"/>
          <w:szCs w:val="32"/>
          <w:u w:val="single"/>
          <w:lang w:val="zh-CN" w:eastAsia="zh-CN"/>
        </w:rPr>
      </w:pPr>
      <w:r>
        <w:rPr>
          <w:rFonts w:hint="eastAsia" w:ascii="方正楷体_GBK" w:hAnsi="方正楷体_GBK" w:eastAsia="方正楷体_GBK" w:cs="方正楷体_GBK"/>
          <w:color w:val="000000"/>
          <w:sz w:val="32"/>
          <w:szCs w:val="32"/>
          <w:lang w:val="en-US" w:eastAsia="zh-CN" w:bidi="ar-SA"/>
        </w:rPr>
        <w:t>（一）</w:t>
      </w:r>
      <w:r>
        <w:rPr>
          <w:rFonts w:hint="eastAsia" w:ascii="方正仿宋简体" w:hAnsi="方正仿宋简体" w:eastAsia="方正仿宋简体" w:cs="方正仿宋简体"/>
          <w:bCs/>
          <w:sz w:val="32"/>
          <w:szCs w:val="32"/>
          <w:lang w:val="zh-CN"/>
        </w:rPr>
        <w:t>招标项目：</w:t>
      </w:r>
      <w:r>
        <w:rPr>
          <w:rFonts w:hint="eastAsia" w:ascii="方正仿宋简体" w:hAnsi="方正仿宋简体" w:eastAsia="方正仿宋简体" w:cs="方正仿宋简体"/>
          <w:bCs/>
          <w:sz w:val="32"/>
          <w:szCs w:val="32"/>
          <w:u w:val="single"/>
        </w:rPr>
        <w:t>202</w:t>
      </w:r>
      <w:r>
        <w:rPr>
          <w:rFonts w:hint="eastAsia" w:ascii="方正仿宋简体" w:hAnsi="方正仿宋简体" w:eastAsia="方正仿宋简体" w:cs="方正仿宋简体"/>
          <w:bCs/>
          <w:sz w:val="32"/>
          <w:szCs w:val="32"/>
          <w:u w:val="single"/>
          <w:lang w:val="en-US" w:eastAsia="zh-CN"/>
        </w:rPr>
        <w:t>4</w:t>
      </w:r>
      <w:r>
        <w:rPr>
          <w:rFonts w:hint="eastAsia" w:ascii="方正仿宋简体" w:hAnsi="方正仿宋简体" w:eastAsia="方正仿宋简体" w:cs="方正仿宋简体"/>
          <w:bCs/>
          <w:sz w:val="32"/>
          <w:szCs w:val="32"/>
          <w:u w:val="single"/>
        </w:rPr>
        <w:t>年度</w:t>
      </w:r>
      <w:r>
        <w:rPr>
          <w:rFonts w:hint="eastAsia" w:ascii="方正仿宋简体" w:hAnsi="方正仿宋简体" w:eastAsia="方正仿宋简体" w:cs="方正仿宋简体"/>
          <w:sz w:val="32"/>
          <w:szCs w:val="32"/>
          <w:u w:val="single"/>
          <w:lang w:val="en-US" w:eastAsia="zh-CN"/>
        </w:rPr>
        <w:t>船舶污染责任险</w:t>
      </w:r>
      <w:r>
        <w:rPr>
          <w:rFonts w:hint="eastAsia" w:ascii="方正仿宋简体" w:hAnsi="方正仿宋简体" w:eastAsia="方正仿宋简体" w:cs="方正仿宋简体"/>
          <w:bCs/>
          <w:sz w:val="32"/>
          <w:szCs w:val="32"/>
          <w:u w:val="single"/>
        </w:rPr>
        <w:t>保险</w:t>
      </w:r>
      <w:r>
        <w:rPr>
          <w:rFonts w:hint="eastAsia" w:ascii="方正仿宋简体" w:hAnsi="方正仿宋简体" w:eastAsia="方正仿宋简体" w:cs="方正仿宋简体"/>
          <w:bCs/>
          <w:sz w:val="32"/>
          <w:szCs w:val="32"/>
          <w:u w:val="single"/>
          <w:lang w:val="en-US" w:eastAsia="zh-CN"/>
        </w:rPr>
        <w:t xml:space="preserve">  </w:t>
      </w:r>
      <w:r>
        <w:rPr>
          <w:rFonts w:hint="eastAsia" w:ascii="方正仿宋简体" w:hAnsi="方正仿宋简体" w:eastAsia="方正仿宋简体" w:cs="方正仿宋简体"/>
          <w:bCs/>
          <w:sz w:val="32"/>
          <w:szCs w:val="32"/>
          <w:u w:val="none"/>
          <w:lang w:val="zh-CN" w:eastAsia="zh-CN"/>
        </w:rPr>
        <w:t>；</w:t>
      </w:r>
    </w:p>
    <w:p>
      <w:pPr>
        <w:spacing w:line="600" w:lineRule="exact"/>
        <w:ind w:firstLine="640" w:firstLineChars="200"/>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0"/>
          <w:szCs w:val="30"/>
          <w:u w:val="single"/>
        </w:rPr>
        <w:t>镇江海纳川物流产业发展有限责任公司</w:t>
      </w:r>
      <w:r>
        <w:rPr>
          <w:rFonts w:hint="eastAsia" w:ascii="方正仿宋简体" w:hAnsi="方正仿宋简体" w:eastAsia="方正仿宋简体" w:cs="方正仿宋简体"/>
          <w:sz w:val="30"/>
          <w:szCs w:val="30"/>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2024年5月9日下午14:00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2024年5月9日下午</w:t>
      </w:r>
      <w:bookmarkStart w:id="0" w:name="_GoBack"/>
      <w:bookmarkEnd w:id="0"/>
      <w:r>
        <w:rPr>
          <w:rFonts w:hint="eastAsia" w:ascii="方正仿宋简体" w:hAnsi="方正仿宋简体" w:eastAsia="方正仿宋简体" w:cs="方正仿宋简体"/>
          <w:sz w:val="32"/>
          <w:szCs w:val="32"/>
          <w:u w:val="single"/>
          <w:lang w:val="en-US" w:eastAsia="zh-CN"/>
        </w:rPr>
        <w:t>14:00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五</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六</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w:t>
      </w:r>
      <w:r>
        <w:rPr>
          <w:rFonts w:hint="eastAsia" w:ascii="方正仿宋简体" w:hAnsi="方正仿宋简体" w:eastAsia="方正仿宋简体" w:cs="方正仿宋简体"/>
          <w:bCs/>
          <w:sz w:val="32"/>
          <w:szCs w:val="32"/>
          <w:lang w:val="en-US" w:eastAsia="zh-CN"/>
        </w:rPr>
        <w:t>sopo</w:t>
      </w:r>
      <w:r>
        <w:rPr>
          <w:rFonts w:hint="eastAsia" w:ascii="方正仿宋简体" w:hAnsi="方正仿宋简体" w:eastAsia="方正仿宋简体" w:cs="方正仿宋简体"/>
          <w:bCs/>
          <w:sz w:val="32"/>
          <w:szCs w:val="32"/>
        </w:rPr>
        <w:t>.com</w:t>
      </w:r>
      <w:r>
        <w:rPr>
          <w:rFonts w:hint="eastAsia" w:ascii="方正仿宋简体" w:hAnsi="方正仿宋简体" w:eastAsia="方正仿宋简体" w:cs="方正仿宋简体"/>
          <w:bCs/>
          <w:sz w:val="32"/>
          <w:szCs w:val="32"/>
          <w:lang w:val="en-US" w:eastAsia="zh-CN"/>
        </w:rPr>
        <w:t>.cn</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sz w:val="32"/>
          <w:szCs w:val="32"/>
        </w:rPr>
        <w:t>查询。</w:t>
      </w:r>
    </w:p>
    <w:p>
      <w:pPr>
        <w:wordWrap w:val="0"/>
        <w:ind w:firstLine="640" w:firstLineChars="200"/>
        <w:jc w:val="left"/>
        <w:rPr>
          <w:rFonts w:hint="eastAsia" w:ascii="方正楷体_GBK" w:hAnsi="方正楷体_GBK" w:eastAsia="方正楷体_GBK" w:cs="方正楷体_GBK"/>
          <w:color w:val="000000"/>
          <w:sz w:val="32"/>
          <w:szCs w:val="32"/>
          <w:lang w:val="en-US" w:eastAsia="zh-CN" w:bidi="ar-SA"/>
        </w:rPr>
      </w:pPr>
      <w:r>
        <w:rPr>
          <w:rFonts w:hint="eastAsia" w:ascii="方正黑体_GBK" w:hAnsi="方正黑体_GBK" w:eastAsia="方正黑体_GBK" w:cs="方正黑体_GBK"/>
          <w:sz w:val="32"/>
          <w:szCs w:val="32"/>
        </w:rPr>
        <w:t>二、招标内容</w:t>
      </w:r>
    </w:p>
    <w:p>
      <w:pPr>
        <w:spacing w:line="600" w:lineRule="exact"/>
        <w:ind w:firstLine="640" w:firstLineChars="200"/>
        <w:rPr>
          <w:rFonts w:hint="eastAsia" w:ascii="方正仿宋简体" w:hAnsi="方正仿宋简体" w:eastAsia="方正仿宋简体" w:cs="方正仿宋简体"/>
          <w:bCs/>
          <w:sz w:val="30"/>
          <w:szCs w:val="30"/>
          <w:u w:val="none"/>
          <w:lang w:val="en-US" w:eastAsia="zh-CN"/>
        </w:rPr>
      </w:pPr>
      <w:r>
        <w:rPr>
          <w:rFonts w:hint="eastAsia" w:ascii="方正楷体_GBK" w:hAnsi="方正楷体_GBK" w:eastAsia="方正楷体_GBK" w:cs="方正楷体_GBK"/>
          <w:color w:val="000000"/>
          <w:sz w:val="32"/>
          <w:szCs w:val="32"/>
          <w:lang w:val="en-US" w:eastAsia="zh-CN" w:bidi="ar-SA"/>
        </w:rPr>
        <w:t>（一）</w:t>
      </w:r>
      <w:r>
        <w:rPr>
          <w:rFonts w:hint="eastAsia" w:ascii="方正仿宋简体" w:hAnsi="方正仿宋简体" w:eastAsia="方正仿宋简体" w:cs="方正仿宋简体"/>
          <w:bCs/>
          <w:sz w:val="30"/>
          <w:szCs w:val="30"/>
          <w:lang w:val="en-US" w:eastAsia="zh-CN"/>
        </w:rPr>
        <w:t>服务时间</w:t>
      </w:r>
      <w:r>
        <w:rPr>
          <w:rFonts w:hint="eastAsia" w:ascii="方正仿宋简体" w:hAnsi="方正仿宋简体" w:eastAsia="方正仿宋简体" w:cs="方正仿宋简体"/>
          <w:bCs/>
          <w:sz w:val="30"/>
          <w:szCs w:val="30"/>
          <w:lang w:val="zh-CN"/>
        </w:rPr>
        <w:t>：</w:t>
      </w:r>
      <w:r>
        <w:rPr>
          <w:rFonts w:hint="eastAsia" w:ascii="方正仿宋简体" w:hAnsi="方正仿宋简体" w:eastAsia="方正仿宋简体" w:cs="方正仿宋简体"/>
          <w:bCs/>
          <w:sz w:val="30"/>
          <w:szCs w:val="30"/>
          <w:u w:val="none"/>
          <w:lang w:val="en-US" w:eastAsia="zh-CN"/>
        </w:rPr>
        <w:t>2024年投保，保险时间为一年（</w:t>
      </w:r>
      <w:r>
        <w:rPr>
          <w:rFonts w:hint="eastAsia" w:ascii="方正仿宋简体" w:hAnsi="方正仿宋简体" w:eastAsia="方正仿宋简体" w:cs="方正仿宋简体"/>
          <w:kern w:val="2"/>
          <w:sz w:val="32"/>
          <w:szCs w:val="32"/>
          <w:lang w:val="en-US" w:eastAsia="zh-CN" w:bidi="ar-SA"/>
        </w:rPr>
        <w:t>具体时间以保单为准</w:t>
      </w:r>
      <w:r>
        <w:rPr>
          <w:rFonts w:hint="eastAsia" w:ascii="方正仿宋简体" w:hAnsi="方正仿宋简体" w:eastAsia="方正仿宋简体" w:cs="方正仿宋简体"/>
          <w:bCs/>
          <w:sz w:val="30"/>
          <w:szCs w:val="30"/>
          <w:u w:val="none"/>
          <w:lang w:val="en-US" w:eastAsia="zh-CN"/>
        </w:rPr>
        <w:t>）。</w:t>
      </w:r>
    </w:p>
    <w:p>
      <w:pPr>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楷体_GBK" w:hAnsi="方正楷体_GBK" w:eastAsia="方正楷体_GBK" w:cs="方正楷体_GBK"/>
          <w:color w:val="000000"/>
          <w:sz w:val="32"/>
          <w:szCs w:val="32"/>
          <w:lang w:val="en-US" w:eastAsia="zh-CN" w:bidi="ar-SA"/>
        </w:rPr>
        <w:t>（二）</w:t>
      </w:r>
      <w:r>
        <w:rPr>
          <w:rFonts w:hint="eastAsia" w:ascii="方正仿宋简体" w:hAnsi="方正仿宋简体" w:eastAsia="方正仿宋简体" w:cs="方正仿宋简体"/>
          <w:bCs/>
          <w:sz w:val="32"/>
          <w:szCs w:val="32"/>
          <w:lang w:val="en-US" w:eastAsia="zh-CN"/>
        </w:rPr>
        <w:t>保险服务内容：</w:t>
      </w:r>
    </w:p>
    <w:tbl>
      <w:tblPr>
        <w:tblStyle w:val="13"/>
        <w:tblpPr w:leftFromText="180" w:rightFromText="180" w:vertAnchor="text" w:horzAnchor="page" w:tblpX="2056" w:tblpY="264"/>
        <w:tblOverlap w:val="never"/>
        <w:tblW w:w="78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09"/>
        <w:gridCol w:w="3500"/>
        <w:gridCol w:w="1268"/>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rPr>
        <w:tc>
          <w:tcPr>
            <w:tcW w:w="1709" w:type="dxa"/>
            <w:vAlign w:val="center"/>
          </w:tcPr>
          <w:p>
            <w:pPr>
              <w:widowControl/>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rPr>
              <w:t>船名</w:t>
            </w:r>
          </w:p>
        </w:tc>
        <w:tc>
          <w:tcPr>
            <w:tcW w:w="3500" w:type="dxa"/>
            <w:vAlign w:val="center"/>
          </w:tcPr>
          <w:p>
            <w:pPr>
              <w:widowControl/>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sz w:val="24"/>
              </w:rPr>
              <w:t>保险期间</w:t>
            </w:r>
          </w:p>
        </w:tc>
        <w:tc>
          <w:tcPr>
            <w:tcW w:w="1268" w:type="dxa"/>
            <w:vAlign w:val="center"/>
          </w:tcPr>
          <w:p>
            <w:pPr>
              <w:widowControl/>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sz w:val="24"/>
              </w:rPr>
              <w:t>载重吨</w:t>
            </w:r>
          </w:p>
        </w:tc>
        <w:tc>
          <w:tcPr>
            <w:tcW w:w="1335" w:type="dxa"/>
            <w:vAlign w:val="center"/>
          </w:tcPr>
          <w:p>
            <w:pPr>
              <w:widowControl/>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sz w:val="24"/>
              </w:rPr>
              <w:t>保额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1709" w:type="dxa"/>
            <w:vAlign w:val="center"/>
          </w:tcPr>
          <w:p>
            <w:pPr>
              <w:widowControl/>
              <w:jc w:val="center"/>
              <w:textAlignment w:val="center"/>
              <w:rPr>
                <w:rFonts w:ascii="仿宋_GB2312" w:hAnsi="宋体" w:eastAsia="仿宋_GB2312" w:cs="仿宋_GB2312"/>
                <w:bCs/>
                <w:color w:val="000000"/>
                <w:sz w:val="24"/>
              </w:rPr>
            </w:pPr>
            <w:r>
              <w:rPr>
                <w:rFonts w:ascii="仿宋_GB2312" w:hAnsi="宋体" w:eastAsia="仿宋_GB2312" w:cs="仿宋_GB2312"/>
                <w:bCs/>
                <w:color w:val="000000"/>
                <w:kern w:val="0"/>
                <w:sz w:val="24"/>
              </w:rPr>
              <w:t>兴普006</w:t>
            </w:r>
          </w:p>
        </w:tc>
        <w:tc>
          <w:tcPr>
            <w:tcW w:w="3500" w:type="dxa"/>
            <w:vAlign w:val="center"/>
          </w:tcPr>
          <w:p>
            <w:pPr>
              <w:widowControl/>
              <w:jc w:val="center"/>
              <w:textAlignment w:val="bottom"/>
              <w:rPr>
                <w:rFonts w:ascii="Tahoma" w:hAnsi="Tahoma" w:eastAsia="Tahoma" w:cs="Tahoma"/>
                <w:color w:val="000000"/>
                <w:kern w:val="0"/>
                <w:sz w:val="20"/>
                <w:szCs w:val="20"/>
              </w:rPr>
            </w:pPr>
            <w:r>
              <w:rPr>
                <w:rFonts w:hint="eastAsia" w:ascii="Tahoma" w:hAnsi="Tahoma" w:cs="Tahoma"/>
                <w:color w:val="000000"/>
                <w:kern w:val="0"/>
                <w:sz w:val="20"/>
                <w:szCs w:val="20"/>
                <w:lang w:val="en-US" w:eastAsia="zh-CN"/>
              </w:rPr>
              <w:t>2024</w:t>
            </w:r>
            <w:r>
              <w:rPr>
                <w:rFonts w:hint="eastAsia" w:ascii="宋体" w:hAnsi="宋体" w:cs="宋体"/>
                <w:color w:val="000000"/>
                <w:kern w:val="0"/>
                <w:sz w:val="20"/>
                <w:szCs w:val="20"/>
              </w:rPr>
              <w:t>年</w:t>
            </w:r>
            <w:r>
              <w:rPr>
                <w:rFonts w:hint="eastAsia" w:ascii="Tahoma" w:hAnsi="Tahoma" w:eastAsia="Tahoma" w:cs="Tahoma"/>
                <w:color w:val="000000"/>
                <w:kern w:val="0"/>
                <w:sz w:val="20"/>
                <w:szCs w:val="20"/>
              </w:rPr>
              <w:t>10</w:t>
            </w:r>
            <w:r>
              <w:rPr>
                <w:rFonts w:hint="eastAsia" w:ascii="宋体" w:hAnsi="宋体" w:cs="宋体"/>
                <w:color w:val="000000"/>
                <w:kern w:val="0"/>
                <w:sz w:val="20"/>
                <w:szCs w:val="20"/>
              </w:rPr>
              <w:t>月</w:t>
            </w:r>
            <w:r>
              <w:rPr>
                <w:rFonts w:hint="eastAsia" w:ascii="Tahoma" w:hAnsi="Tahoma" w:eastAsia="Tahoma" w:cs="Tahoma"/>
                <w:color w:val="000000"/>
                <w:kern w:val="0"/>
                <w:sz w:val="20"/>
                <w:szCs w:val="20"/>
              </w:rPr>
              <w:t>16</w:t>
            </w:r>
            <w:r>
              <w:rPr>
                <w:rFonts w:hint="eastAsia" w:ascii="宋体" w:hAnsi="宋体" w:cs="宋体"/>
                <w:color w:val="000000"/>
                <w:kern w:val="0"/>
                <w:sz w:val="20"/>
                <w:szCs w:val="20"/>
              </w:rPr>
              <w:t>日</w:t>
            </w:r>
            <w:r>
              <w:rPr>
                <w:rFonts w:hint="eastAsia" w:ascii="Tahoma" w:hAnsi="Tahoma" w:eastAsia="Tahoma" w:cs="Tahoma"/>
                <w:color w:val="000000"/>
                <w:kern w:val="0"/>
                <w:sz w:val="20"/>
                <w:szCs w:val="20"/>
              </w:rPr>
              <w:t>-</w:t>
            </w:r>
            <w:r>
              <w:rPr>
                <w:rFonts w:hint="eastAsia" w:ascii="Tahoma" w:hAnsi="Tahoma" w:cs="Tahoma"/>
                <w:color w:val="000000"/>
                <w:kern w:val="0"/>
                <w:sz w:val="20"/>
                <w:szCs w:val="20"/>
                <w:lang w:val="en-US" w:eastAsia="zh-CN"/>
              </w:rPr>
              <w:t>2025</w:t>
            </w:r>
            <w:r>
              <w:rPr>
                <w:rFonts w:hint="eastAsia" w:ascii="宋体" w:hAnsi="宋体" w:cs="宋体"/>
                <w:color w:val="000000"/>
                <w:kern w:val="0"/>
                <w:sz w:val="20"/>
                <w:szCs w:val="20"/>
              </w:rPr>
              <w:t>年</w:t>
            </w:r>
            <w:r>
              <w:rPr>
                <w:rFonts w:hint="eastAsia" w:ascii="Tahoma" w:hAnsi="Tahoma" w:eastAsia="Tahoma" w:cs="Tahoma"/>
                <w:color w:val="000000"/>
                <w:kern w:val="0"/>
                <w:sz w:val="20"/>
                <w:szCs w:val="20"/>
              </w:rPr>
              <w:t>10</w:t>
            </w:r>
            <w:r>
              <w:rPr>
                <w:rFonts w:hint="eastAsia" w:ascii="宋体" w:hAnsi="宋体" w:cs="宋体"/>
                <w:color w:val="000000"/>
                <w:kern w:val="0"/>
                <w:sz w:val="20"/>
                <w:szCs w:val="20"/>
              </w:rPr>
              <w:t>月</w:t>
            </w:r>
            <w:r>
              <w:rPr>
                <w:rFonts w:hint="eastAsia" w:ascii="Tahoma" w:hAnsi="Tahoma" w:eastAsia="Tahoma" w:cs="Tahoma"/>
                <w:color w:val="000000"/>
                <w:kern w:val="0"/>
                <w:sz w:val="20"/>
                <w:szCs w:val="20"/>
              </w:rPr>
              <w:t>15</w:t>
            </w:r>
            <w:r>
              <w:rPr>
                <w:rFonts w:hint="eastAsia" w:ascii="宋体" w:hAnsi="宋体" w:cs="宋体"/>
                <w:color w:val="000000"/>
                <w:kern w:val="0"/>
                <w:sz w:val="20"/>
                <w:szCs w:val="20"/>
              </w:rPr>
              <w:t>日</w:t>
            </w:r>
          </w:p>
        </w:tc>
        <w:tc>
          <w:tcPr>
            <w:tcW w:w="1268" w:type="dxa"/>
            <w:vAlign w:val="center"/>
          </w:tcPr>
          <w:p>
            <w:pPr>
              <w:widowControl/>
              <w:jc w:val="center"/>
              <w:textAlignment w:val="bottom"/>
              <w:rPr>
                <w:rFonts w:ascii="仿宋_GB2312" w:hAnsi="宋体" w:eastAsia="仿宋_GB2312" w:cs="仿宋_GB2312"/>
                <w:color w:val="000000"/>
                <w:sz w:val="24"/>
              </w:rPr>
            </w:pPr>
            <w:r>
              <w:rPr>
                <w:rFonts w:hint="eastAsia" w:ascii="仿宋_GB2312" w:hAnsi="宋体" w:eastAsia="仿宋_GB2312" w:cs="仿宋_GB2312"/>
                <w:color w:val="000000"/>
                <w:sz w:val="24"/>
              </w:rPr>
              <w:t>310</w:t>
            </w:r>
          </w:p>
        </w:tc>
        <w:tc>
          <w:tcPr>
            <w:tcW w:w="1335" w:type="dxa"/>
            <w:vAlign w:val="center"/>
          </w:tcPr>
          <w:p>
            <w:pPr>
              <w:widowControl/>
              <w:jc w:val="center"/>
              <w:textAlignment w:val="bottom"/>
              <w:rPr>
                <w:rFonts w:ascii="仿宋_GB2312" w:hAnsi="宋体" w:eastAsia="仿宋_GB2312" w:cs="仿宋_GB2312"/>
                <w:color w:val="000000"/>
                <w:sz w:val="24"/>
              </w:rPr>
            </w:pPr>
            <w:r>
              <w:rPr>
                <w:rFonts w:hint="eastAsia" w:ascii="仿宋_GB2312" w:hAnsi="宋体" w:eastAsia="仿宋_GB2312" w:cs="仿宋_GB2312"/>
                <w:color w:val="000000"/>
                <w:sz w:val="24"/>
              </w:rPr>
              <w:t>100万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1709" w:type="dxa"/>
            <w:vAlign w:val="center"/>
          </w:tcPr>
          <w:p>
            <w:pPr>
              <w:widowControl/>
              <w:jc w:val="center"/>
              <w:textAlignment w:val="center"/>
              <w:rPr>
                <w:rFonts w:ascii="仿宋_GB2312" w:hAnsi="宋体" w:eastAsia="仿宋_GB2312" w:cs="仿宋_GB2312"/>
                <w:bCs/>
                <w:color w:val="000000"/>
                <w:sz w:val="24"/>
              </w:rPr>
            </w:pPr>
            <w:r>
              <w:rPr>
                <w:rFonts w:ascii="仿宋_GB2312" w:hAnsi="宋体" w:eastAsia="仿宋_GB2312" w:cs="仿宋_GB2312"/>
                <w:bCs/>
                <w:color w:val="000000"/>
                <w:kern w:val="0"/>
                <w:sz w:val="24"/>
              </w:rPr>
              <w:t>兴普007</w:t>
            </w:r>
          </w:p>
        </w:tc>
        <w:tc>
          <w:tcPr>
            <w:tcW w:w="3500" w:type="dxa"/>
            <w:vAlign w:val="center"/>
          </w:tcPr>
          <w:p>
            <w:pPr>
              <w:widowControl/>
              <w:jc w:val="center"/>
              <w:textAlignment w:val="bottom"/>
              <w:rPr>
                <w:rFonts w:ascii="Tahoma" w:hAnsi="Tahoma" w:eastAsia="Tahoma" w:cs="Tahoma"/>
                <w:color w:val="000000"/>
                <w:kern w:val="0"/>
                <w:sz w:val="20"/>
                <w:szCs w:val="20"/>
              </w:rPr>
            </w:pPr>
            <w:r>
              <w:rPr>
                <w:rFonts w:hint="eastAsia" w:ascii="Tahoma" w:hAnsi="Tahoma" w:cs="Tahoma"/>
                <w:color w:val="000000"/>
                <w:kern w:val="0"/>
                <w:sz w:val="20"/>
                <w:szCs w:val="20"/>
                <w:lang w:val="en-US" w:eastAsia="zh-CN"/>
              </w:rPr>
              <w:t>2024</w:t>
            </w:r>
            <w:r>
              <w:rPr>
                <w:rFonts w:hint="eastAsia" w:ascii="宋体" w:hAnsi="宋体" w:cs="宋体"/>
                <w:color w:val="000000"/>
                <w:kern w:val="0"/>
                <w:sz w:val="20"/>
                <w:szCs w:val="20"/>
              </w:rPr>
              <w:t>年</w:t>
            </w:r>
            <w:r>
              <w:rPr>
                <w:rFonts w:hint="eastAsia" w:ascii="Tahoma" w:hAnsi="Tahoma" w:eastAsia="Tahoma" w:cs="Tahoma"/>
                <w:color w:val="000000"/>
                <w:kern w:val="0"/>
                <w:sz w:val="20"/>
                <w:szCs w:val="20"/>
              </w:rPr>
              <w:t>10</w:t>
            </w:r>
            <w:r>
              <w:rPr>
                <w:rFonts w:hint="eastAsia" w:ascii="宋体" w:hAnsi="宋体" w:cs="宋体"/>
                <w:color w:val="000000"/>
                <w:kern w:val="0"/>
                <w:sz w:val="20"/>
                <w:szCs w:val="20"/>
              </w:rPr>
              <w:t>月</w:t>
            </w:r>
            <w:r>
              <w:rPr>
                <w:rFonts w:hint="eastAsia" w:ascii="Tahoma" w:hAnsi="Tahoma" w:eastAsia="Tahoma" w:cs="Tahoma"/>
                <w:color w:val="000000"/>
                <w:kern w:val="0"/>
                <w:sz w:val="20"/>
                <w:szCs w:val="20"/>
              </w:rPr>
              <w:t>16</w:t>
            </w:r>
            <w:r>
              <w:rPr>
                <w:rFonts w:hint="eastAsia" w:ascii="宋体" w:hAnsi="宋体" w:cs="宋体"/>
                <w:color w:val="000000"/>
                <w:kern w:val="0"/>
                <w:sz w:val="20"/>
                <w:szCs w:val="20"/>
              </w:rPr>
              <w:t>日</w:t>
            </w:r>
            <w:r>
              <w:rPr>
                <w:rFonts w:hint="eastAsia" w:ascii="Tahoma" w:hAnsi="Tahoma" w:eastAsia="Tahoma" w:cs="Tahoma"/>
                <w:color w:val="000000"/>
                <w:kern w:val="0"/>
                <w:sz w:val="20"/>
                <w:szCs w:val="20"/>
              </w:rPr>
              <w:t>-</w:t>
            </w:r>
            <w:r>
              <w:rPr>
                <w:rFonts w:hint="eastAsia" w:ascii="Tahoma" w:hAnsi="Tahoma" w:cs="Tahoma"/>
                <w:color w:val="000000"/>
                <w:kern w:val="0"/>
                <w:sz w:val="20"/>
                <w:szCs w:val="20"/>
                <w:lang w:val="en-US" w:eastAsia="zh-CN"/>
              </w:rPr>
              <w:t>2025</w:t>
            </w:r>
            <w:r>
              <w:rPr>
                <w:rFonts w:hint="eastAsia" w:ascii="宋体" w:hAnsi="宋体" w:cs="宋体"/>
                <w:color w:val="000000"/>
                <w:kern w:val="0"/>
                <w:sz w:val="20"/>
                <w:szCs w:val="20"/>
              </w:rPr>
              <w:t>年</w:t>
            </w:r>
            <w:r>
              <w:rPr>
                <w:rFonts w:hint="eastAsia" w:ascii="Tahoma" w:hAnsi="Tahoma" w:eastAsia="Tahoma" w:cs="Tahoma"/>
                <w:color w:val="000000"/>
                <w:kern w:val="0"/>
                <w:sz w:val="20"/>
                <w:szCs w:val="20"/>
              </w:rPr>
              <w:t>10</w:t>
            </w:r>
            <w:r>
              <w:rPr>
                <w:rFonts w:hint="eastAsia" w:ascii="宋体" w:hAnsi="宋体" w:cs="宋体"/>
                <w:color w:val="000000"/>
                <w:kern w:val="0"/>
                <w:sz w:val="20"/>
                <w:szCs w:val="20"/>
              </w:rPr>
              <w:t>月</w:t>
            </w:r>
            <w:r>
              <w:rPr>
                <w:rFonts w:hint="eastAsia" w:ascii="Tahoma" w:hAnsi="Tahoma" w:eastAsia="Tahoma" w:cs="Tahoma"/>
                <w:color w:val="000000"/>
                <w:kern w:val="0"/>
                <w:sz w:val="20"/>
                <w:szCs w:val="20"/>
              </w:rPr>
              <w:t>15</w:t>
            </w:r>
            <w:r>
              <w:rPr>
                <w:rFonts w:hint="eastAsia" w:ascii="宋体" w:hAnsi="宋体" w:cs="宋体"/>
                <w:color w:val="000000"/>
                <w:kern w:val="0"/>
                <w:sz w:val="20"/>
                <w:szCs w:val="20"/>
              </w:rPr>
              <w:t>日</w:t>
            </w:r>
          </w:p>
        </w:tc>
        <w:tc>
          <w:tcPr>
            <w:tcW w:w="1268" w:type="dxa"/>
            <w:vAlign w:val="center"/>
          </w:tcPr>
          <w:p>
            <w:pPr>
              <w:widowControl/>
              <w:jc w:val="center"/>
              <w:textAlignment w:val="bottom"/>
              <w:rPr>
                <w:rFonts w:ascii="仿宋_GB2312" w:hAnsi="宋体" w:eastAsia="仿宋_GB2312" w:cs="仿宋_GB2312"/>
                <w:color w:val="000000"/>
                <w:sz w:val="24"/>
              </w:rPr>
            </w:pPr>
            <w:r>
              <w:rPr>
                <w:rFonts w:hint="eastAsia" w:ascii="仿宋_GB2312" w:hAnsi="宋体" w:eastAsia="仿宋_GB2312" w:cs="仿宋_GB2312"/>
                <w:color w:val="000000"/>
                <w:sz w:val="24"/>
              </w:rPr>
              <w:t>320</w:t>
            </w:r>
          </w:p>
        </w:tc>
        <w:tc>
          <w:tcPr>
            <w:tcW w:w="1335" w:type="dxa"/>
            <w:vAlign w:val="center"/>
          </w:tcPr>
          <w:p>
            <w:pPr>
              <w:widowControl/>
              <w:jc w:val="center"/>
              <w:textAlignment w:val="bottom"/>
              <w:rPr>
                <w:rFonts w:ascii="仿宋_GB2312" w:hAnsi="宋体" w:eastAsia="仿宋_GB2312" w:cs="仿宋_GB2312"/>
                <w:color w:val="000000"/>
                <w:sz w:val="24"/>
              </w:rPr>
            </w:pPr>
            <w:r>
              <w:rPr>
                <w:rFonts w:hint="eastAsia" w:ascii="仿宋_GB2312" w:hAnsi="宋体" w:eastAsia="仿宋_GB2312" w:cs="仿宋_GB2312"/>
                <w:color w:val="000000"/>
                <w:sz w:val="24"/>
              </w:rPr>
              <w:t>100万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1709" w:type="dxa"/>
            <w:vAlign w:val="center"/>
          </w:tcPr>
          <w:p>
            <w:pPr>
              <w:widowControl/>
              <w:jc w:val="center"/>
              <w:textAlignment w:val="center"/>
              <w:rPr>
                <w:rFonts w:ascii="仿宋_GB2312" w:hAnsi="宋体" w:eastAsia="仿宋_GB2312" w:cs="仿宋_GB2312"/>
                <w:bCs/>
                <w:color w:val="000000"/>
                <w:kern w:val="0"/>
                <w:sz w:val="24"/>
              </w:rPr>
            </w:pPr>
            <w:r>
              <w:rPr>
                <w:rFonts w:ascii="仿宋_GB2312" w:hAnsi="宋体" w:eastAsia="仿宋_GB2312" w:cs="仿宋_GB2312"/>
                <w:bCs/>
                <w:color w:val="000000"/>
                <w:kern w:val="0"/>
                <w:sz w:val="24"/>
              </w:rPr>
              <w:t>兴普</w:t>
            </w:r>
            <w:r>
              <w:rPr>
                <w:rFonts w:hint="eastAsia" w:ascii="仿宋_GB2312" w:hAnsi="宋体" w:eastAsia="仿宋_GB2312" w:cs="仿宋_GB2312"/>
                <w:bCs/>
                <w:color w:val="000000"/>
                <w:kern w:val="0"/>
                <w:sz w:val="24"/>
              </w:rPr>
              <w:t>008</w:t>
            </w:r>
          </w:p>
        </w:tc>
        <w:tc>
          <w:tcPr>
            <w:tcW w:w="3500" w:type="dxa"/>
            <w:vAlign w:val="center"/>
          </w:tcPr>
          <w:p>
            <w:pPr>
              <w:widowControl/>
              <w:jc w:val="center"/>
              <w:textAlignment w:val="bottom"/>
              <w:rPr>
                <w:rFonts w:ascii="Tahoma" w:hAnsi="Tahoma" w:eastAsia="Tahoma" w:cs="Tahoma"/>
                <w:color w:val="000000"/>
                <w:kern w:val="0"/>
                <w:sz w:val="20"/>
                <w:szCs w:val="20"/>
              </w:rPr>
            </w:pPr>
            <w:r>
              <w:rPr>
                <w:rFonts w:hint="eastAsia" w:ascii="Tahoma" w:hAnsi="Tahoma" w:cs="Tahoma"/>
                <w:color w:val="000000"/>
                <w:kern w:val="0"/>
                <w:sz w:val="20"/>
                <w:szCs w:val="20"/>
                <w:lang w:val="en-US" w:eastAsia="zh-CN"/>
              </w:rPr>
              <w:t>2024</w:t>
            </w:r>
            <w:r>
              <w:rPr>
                <w:rFonts w:hint="eastAsia" w:ascii="宋体" w:hAnsi="宋体" w:cs="宋体"/>
                <w:color w:val="000000"/>
                <w:kern w:val="0"/>
                <w:sz w:val="20"/>
                <w:szCs w:val="20"/>
              </w:rPr>
              <w:t>年</w:t>
            </w:r>
            <w:r>
              <w:rPr>
                <w:rFonts w:hint="eastAsia" w:ascii="Tahoma" w:hAnsi="Tahoma" w:eastAsia="Tahoma" w:cs="Tahoma"/>
                <w:color w:val="000000"/>
                <w:kern w:val="0"/>
                <w:sz w:val="20"/>
                <w:szCs w:val="20"/>
              </w:rPr>
              <w:t>5</w:t>
            </w:r>
            <w:r>
              <w:rPr>
                <w:rFonts w:hint="eastAsia" w:ascii="宋体" w:hAnsi="宋体" w:cs="宋体"/>
                <w:color w:val="000000"/>
                <w:kern w:val="0"/>
                <w:sz w:val="20"/>
                <w:szCs w:val="20"/>
              </w:rPr>
              <w:t>月</w:t>
            </w:r>
            <w:r>
              <w:rPr>
                <w:rFonts w:hint="eastAsia" w:ascii="Tahoma" w:hAnsi="Tahoma" w:eastAsia="Tahoma" w:cs="Tahoma"/>
                <w:color w:val="000000"/>
                <w:kern w:val="0"/>
                <w:sz w:val="20"/>
                <w:szCs w:val="20"/>
              </w:rPr>
              <w:t>19</w:t>
            </w:r>
            <w:r>
              <w:rPr>
                <w:rFonts w:hint="eastAsia" w:ascii="宋体" w:hAnsi="宋体" w:cs="宋体"/>
                <w:color w:val="000000"/>
                <w:kern w:val="0"/>
                <w:sz w:val="20"/>
                <w:szCs w:val="20"/>
              </w:rPr>
              <w:t>日</w:t>
            </w:r>
            <w:r>
              <w:rPr>
                <w:rFonts w:hint="eastAsia" w:ascii="Tahoma" w:hAnsi="Tahoma" w:eastAsia="Tahoma" w:cs="Tahoma"/>
                <w:color w:val="000000"/>
                <w:kern w:val="0"/>
                <w:sz w:val="20"/>
                <w:szCs w:val="20"/>
              </w:rPr>
              <w:t>-</w:t>
            </w:r>
            <w:r>
              <w:rPr>
                <w:rFonts w:hint="eastAsia" w:ascii="Tahoma" w:hAnsi="Tahoma" w:cs="Tahoma"/>
                <w:color w:val="000000"/>
                <w:kern w:val="0"/>
                <w:sz w:val="20"/>
                <w:szCs w:val="20"/>
                <w:lang w:val="en-US" w:eastAsia="zh-CN"/>
              </w:rPr>
              <w:t>2025</w:t>
            </w:r>
            <w:r>
              <w:rPr>
                <w:rFonts w:hint="eastAsia" w:ascii="宋体" w:hAnsi="宋体" w:cs="宋体"/>
                <w:color w:val="000000"/>
                <w:kern w:val="0"/>
                <w:sz w:val="20"/>
                <w:szCs w:val="20"/>
              </w:rPr>
              <w:t>年</w:t>
            </w:r>
            <w:r>
              <w:rPr>
                <w:rFonts w:hint="eastAsia" w:ascii="Tahoma" w:hAnsi="Tahoma" w:eastAsia="Tahoma" w:cs="Tahoma"/>
                <w:color w:val="000000"/>
                <w:kern w:val="0"/>
                <w:sz w:val="20"/>
                <w:szCs w:val="20"/>
              </w:rPr>
              <w:t>5</w:t>
            </w:r>
            <w:r>
              <w:rPr>
                <w:rFonts w:hint="eastAsia" w:ascii="宋体" w:hAnsi="宋体" w:cs="宋体"/>
                <w:color w:val="000000"/>
                <w:kern w:val="0"/>
                <w:sz w:val="20"/>
                <w:szCs w:val="20"/>
              </w:rPr>
              <w:t>月</w:t>
            </w:r>
            <w:r>
              <w:rPr>
                <w:rFonts w:hint="eastAsia" w:ascii="Tahoma" w:hAnsi="Tahoma" w:eastAsia="Tahoma" w:cs="Tahoma"/>
                <w:color w:val="000000"/>
                <w:kern w:val="0"/>
                <w:sz w:val="20"/>
                <w:szCs w:val="20"/>
              </w:rPr>
              <w:t>18</w:t>
            </w:r>
            <w:r>
              <w:rPr>
                <w:rFonts w:hint="eastAsia" w:ascii="宋体" w:hAnsi="宋体" w:cs="宋体"/>
                <w:color w:val="000000"/>
                <w:kern w:val="0"/>
                <w:sz w:val="20"/>
                <w:szCs w:val="20"/>
              </w:rPr>
              <w:t>日</w:t>
            </w:r>
          </w:p>
        </w:tc>
        <w:tc>
          <w:tcPr>
            <w:tcW w:w="1268" w:type="dxa"/>
            <w:vAlign w:val="center"/>
          </w:tcPr>
          <w:p>
            <w:pPr>
              <w:widowControl/>
              <w:jc w:val="center"/>
              <w:textAlignment w:val="bottom"/>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1000</w:t>
            </w:r>
          </w:p>
        </w:tc>
        <w:tc>
          <w:tcPr>
            <w:tcW w:w="1335" w:type="dxa"/>
            <w:vAlign w:val="center"/>
          </w:tcPr>
          <w:p>
            <w:pPr>
              <w:widowControl/>
              <w:jc w:val="center"/>
              <w:textAlignment w:val="bottom"/>
              <w:rPr>
                <w:rFonts w:ascii="仿宋_GB2312" w:hAnsi="宋体" w:eastAsia="仿宋_GB2312" w:cs="仿宋_GB2312"/>
                <w:color w:val="000000"/>
                <w:kern w:val="0"/>
                <w:sz w:val="24"/>
              </w:rPr>
            </w:pPr>
            <w:r>
              <w:rPr>
                <w:rFonts w:hint="eastAsia" w:ascii="仿宋_GB2312" w:hAnsi="宋体" w:eastAsia="仿宋_GB2312" w:cs="仿宋_GB2312"/>
                <w:color w:val="000000"/>
                <w:sz w:val="24"/>
                <w:highlight w:val="none"/>
                <w:lang w:val="en-US" w:eastAsia="zh-CN"/>
              </w:rPr>
              <w:t>300</w:t>
            </w:r>
            <w:r>
              <w:rPr>
                <w:rFonts w:hint="eastAsia" w:ascii="仿宋_GB2312" w:hAnsi="宋体" w:eastAsia="仿宋_GB2312" w:cs="仿宋_GB2312"/>
                <w:color w:val="000000"/>
                <w:sz w:val="24"/>
                <w:highlight w:val="none"/>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1709" w:type="dxa"/>
            <w:vAlign w:val="center"/>
          </w:tcPr>
          <w:p>
            <w:pPr>
              <w:widowControl/>
              <w:jc w:val="center"/>
              <w:textAlignment w:val="center"/>
              <w:rPr>
                <w:rFonts w:ascii="仿宋_GB2312" w:hAnsi="宋体" w:eastAsia="仿宋_GB2312" w:cs="仿宋_GB2312"/>
                <w:bCs/>
                <w:color w:val="000000"/>
                <w:kern w:val="0"/>
                <w:sz w:val="24"/>
              </w:rPr>
            </w:pPr>
            <w:r>
              <w:rPr>
                <w:rFonts w:ascii="仿宋_GB2312" w:hAnsi="宋体" w:eastAsia="仿宋_GB2312" w:cs="仿宋_GB2312"/>
                <w:bCs/>
                <w:color w:val="000000"/>
                <w:kern w:val="0"/>
                <w:sz w:val="24"/>
              </w:rPr>
              <w:t>兴普009</w:t>
            </w:r>
          </w:p>
        </w:tc>
        <w:tc>
          <w:tcPr>
            <w:tcW w:w="3500" w:type="dxa"/>
            <w:vAlign w:val="center"/>
          </w:tcPr>
          <w:p>
            <w:pPr>
              <w:widowControl/>
              <w:jc w:val="center"/>
              <w:textAlignment w:val="bottom"/>
              <w:rPr>
                <w:rFonts w:ascii="Tahoma" w:hAnsi="Tahoma" w:eastAsia="Tahoma" w:cs="Tahoma"/>
                <w:color w:val="000000"/>
                <w:kern w:val="0"/>
                <w:sz w:val="20"/>
                <w:szCs w:val="20"/>
              </w:rPr>
            </w:pPr>
            <w:r>
              <w:rPr>
                <w:rFonts w:hint="eastAsia" w:ascii="Tahoma" w:hAnsi="Tahoma" w:cs="Tahoma"/>
                <w:color w:val="000000"/>
                <w:kern w:val="0"/>
                <w:sz w:val="20"/>
                <w:szCs w:val="20"/>
                <w:lang w:val="en-US" w:eastAsia="zh-CN"/>
              </w:rPr>
              <w:t>2024</w:t>
            </w:r>
            <w:r>
              <w:rPr>
                <w:rFonts w:hint="eastAsia" w:ascii="宋体" w:hAnsi="宋体" w:cs="宋体"/>
                <w:color w:val="000000"/>
                <w:kern w:val="0"/>
                <w:sz w:val="20"/>
                <w:szCs w:val="20"/>
              </w:rPr>
              <w:t>年</w:t>
            </w:r>
            <w:r>
              <w:rPr>
                <w:rFonts w:hint="eastAsia" w:ascii="Tahoma" w:hAnsi="Tahoma" w:eastAsia="Tahoma" w:cs="Tahoma"/>
                <w:color w:val="000000"/>
                <w:kern w:val="0"/>
                <w:sz w:val="20"/>
                <w:szCs w:val="20"/>
              </w:rPr>
              <w:t>7</w:t>
            </w:r>
            <w:r>
              <w:rPr>
                <w:rFonts w:hint="eastAsia" w:ascii="宋体" w:hAnsi="宋体" w:cs="宋体"/>
                <w:color w:val="000000"/>
                <w:kern w:val="0"/>
                <w:sz w:val="20"/>
                <w:szCs w:val="20"/>
              </w:rPr>
              <w:t>月</w:t>
            </w:r>
            <w:r>
              <w:rPr>
                <w:rFonts w:hint="eastAsia" w:ascii="Tahoma" w:hAnsi="Tahoma" w:eastAsia="Tahoma" w:cs="Tahoma"/>
                <w:color w:val="000000"/>
                <w:kern w:val="0"/>
                <w:sz w:val="20"/>
                <w:szCs w:val="20"/>
              </w:rPr>
              <w:t>12</w:t>
            </w:r>
            <w:r>
              <w:rPr>
                <w:rFonts w:hint="eastAsia" w:ascii="宋体" w:hAnsi="宋体" w:cs="宋体"/>
                <w:color w:val="000000"/>
                <w:kern w:val="0"/>
                <w:sz w:val="20"/>
                <w:szCs w:val="20"/>
              </w:rPr>
              <w:t>日</w:t>
            </w:r>
            <w:r>
              <w:rPr>
                <w:rFonts w:hint="eastAsia" w:ascii="Tahoma" w:hAnsi="Tahoma" w:eastAsia="Tahoma" w:cs="Tahoma"/>
                <w:color w:val="000000"/>
                <w:kern w:val="0"/>
                <w:sz w:val="20"/>
                <w:szCs w:val="20"/>
              </w:rPr>
              <w:t>-</w:t>
            </w:r>
            <w:r>
              <w:rPr>
                <w:rFonts w:hint="eastAsia" w:ascii="Tahoma" w:hAnsi="Tahoma" w:cs="Tahoma"/>
                <w:color w:val="000000"/>
                <w:kern w:val="0"/>
                <w:sz w:val="20"/>
                <w:szCs w:val="20"/>
                <w:lang w:val="en-US" w:eastAsia="zh-CN"/>
              </w:rPr>
              <w:t>2025</w:t>
            </w:r>
            <w:r>
              <w:rPr>
                <w:rFonts w:hint="eastAsia" w:ascii="宋体" w:hAnsi="宋体" w:cs="宋体"/>
                <w:color w:val="000000"/>
                <w:kern w:val="0"/>
                <w:sz w:val="20"/>
                <w:szCs w:val="20"/>
              </w:rPr>
              <w:t>年</w:t>
            </w:r>
            <w:r>
              <w:rPr>
                <w:rFonts w:hint="eastAsia" w:ascii="Tahoma" w:hAnsi="Tahoma" w:eastAsia="Tahoma" w:cs="Tahoma"/>
                <w:color w:val="000000"/>
                <w:kern w:val="0"/>
                <w:sz w:val="20"/>
                <w:szCs w:val="20"/>
              </w:rPr>
              <w:t>7</w:t>
            </w:r>
            <w:r>
              <w:rPr>
                <w:rFonts w:hint="eastAsia" w:ascii="宋体" w:hAnsi="宋体" w:cs="宋体"/>
                <w:color w:val="000000"/>
                <w:kern w:val="0"/>
                <w:sz w:val="20"/>
                <w:szCs w:val="20"/>
              </w:rPr>
              <w:t>月</w:t>
            </w:r>
            <w:r>
              <w:rPr>
                <w:rFonts w:hint="eastAsia" w:ascii="Tahoma" w:hAnsi="Tahoma" w:eastAsia="Tahoma" w:cs="Tahoma"/>
                <w:color w:val="000000"/>
                <w:kern w:val="0"/>
                <w:sz w:val="20"/>
                <w:szCs w:val="20"/>
              </w:rPr>
              <w:t>11</w:t>
            </w:r>
            <w:r>
              <w:rPr>
                <w:rFonts w:hint="eastAsia" w:ascii="宋体" w:hAnsi="宋体" w:cs="宋体"/>
                <w:color w:val="000000"/>
                <w:kern w:val="0"/>
                <w:sz w:val="20"/>
                <w:szCs w:val="20"/>
              </w:rPr>
              <w:t>日</w:t>
            </w:r>
          </w:p>
        </w:tc>
        <w:tc>
          <w:tcPr>
            <w:tcW w:w="1268" w:type="dxa"/>
            <w:vAlign w:val="center"/>
          </w:tcPr>
          <w:p>
            <w:pPr>
              <w:widowControl/>
              <w:jc w:val="center"/>
              <w:textAlignment w:val="bottom"/>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300</w:t>
            </w:r>
          </w:p>
        </w:tc>
        <w:tc>
          <w:tcPr>
            <w:tcW w:w="1335" w:type="dxa"/>
            <w:vAlign w:val="center"/>
          </w:tcPr>
          <w:p>
            <w:pPr>
              <w:widowControl/>
              <w:jc w:val="center"/>
              <w:textAlignment w:val="bottom"/>
              <w:rPr>
                <w:rFonts w:ascii="仿宋_GB2312" w:hAnsi="宋体" w:eastAsia="仿宋_GB2312" w:cs="仿宋_GB2312"/>
                <w:color w:val="000000"/>
                <w:kern w:val="0"/>
                <w:sz w:val="24"/>
              </w:rPr>
            </w:pPr>
            <w:r>
              <w:rPr>
                <w:rFonts w:hint="eastAsia" w:ascii="仿宋_GB2312" w:hAnsi="宋体" w:eastAsia="仿宋_GB2312" w:cs="仿宋_GB2312"/>
                <w:color w:val="000000"/>
                <w:sz w:val="24"/>
              </w:rPr>
              <w:t>100万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1709" w:type="dxa"/>
            <w:vAlign w:val="center"/>
          </w:tcPr>
          <w:p>
            <w:pPr>
              <w:widowControl/>
              <w:jc w:val="center"/>
              <w:textAlignment w:val="center"/>
              <w:rPr>
                <w:rFonts w:ascii="仿宋_GB2312" w:hAnsi="宋体" w:eastAsia="仿宋_GB2312" w:cs="仿宋_GB2312"/>
                <w:bCs/>
                <w:color w:val="000000"/>
                <w:kern w:val="0"/>
                <w:sz w:val="24"/>
              </w:rPr>
            </w:pPr>
            <w:r>
              <w:rPr>
                <w:rFonts w:hint="eastAsia" w:ascii="仿宋_GB2312" w:hAnsi="宋体" w:eastAsia="仿宋_GB2312" w:cs="仿宋_GB2312"/>
                <w:bCs/>
                <w:color w:val="000000"/>
                <w:kern w:val="0"/>
                <w:sz w:val="24"/>
              </w:rPr>
              <w:t>海纳川66</w:t>
            </w:r>
          </w:p>
        </w:tc>
        <w:tc>
          <w:tcPr>
            <w:tcW w:w="3500" w:type="dxa"/>
            <w:vAlign w:val="center"/>
          </w:tcPr>
          <w:p>
            <w:pPr>
              <w:widowControl/>
              <w:jc w:val="center"/>
              <w:textAlignment w:val="bottom"/>
              <w:rPr>
                <w:rFonts w:ascii="Tahoma" w:hAnsi="Tahoma" w:eastAsia="Tahoma" w:cs="Tahoma"/>
                <w:color w:val="000000"/>
                <w:kern w:val="0"/>
                <w:sz w:val="20"/>
                <w:szCs w:val="20"/>
              </w:rPr>
            </w:pPr>
            <w:r>
              <w:rPr>
                <w:rFonts w:hint="eastAsia" w:ascii="Tahoma" w:hAnsi="Tahoma" w:cs="Tahoma"/>
                <w:color w:val="000000"/>
                <w:kern w:val="0"/>
                <w:sz w:val="20"/>
                <w:szCs w:val="20"/>
                <w:lang w:val="en-US" w:eastAsia="zh-CN"/>
              </w:rPr>
              <w:t>2024</w:t>
            </w:r>
            <w:r>
              <w:rPr>
                <w:rFonts w:hint="eastAsia" w:ascii="宋体" w:hAnsi="宋体" w:cs="宋体"/>
                <w:color w:val="000000"/>
                <w:kern w:val="0"/>
                <w:sz w:val="20"/>
                <w:szCs w:val="20"/>
              </w:rPr>
              <w:t>年</w:t>
            </w:r>
            <w:r>
              <w:rPr>
                <w:rFonts w:hint="eastAsia" w:ascii="Tahoma" w:hAnsi="Tahoma" w:eastAsia="Tahoma" w:cs="Tahoma"/>
                <w:color w:val="000000"/>
                <w:kern w:val="0"/>
                <w:sz w:val="20"/>
                <w:szCs w:val="20"/>
              </w:rPr>
              <w:t>5</w:t>
            </w:r>
            <w:r>
              <w:rPr>
                <w:rFonts w:hint="eastAsia" w:ascii="宋体" w:hAnsi="宋体" w:cs="宋体"/>
                <w:color w:val="000000"/>
                <w:kern w:val="0"/>
                <w:sz w:val="20"/>
                <w:szCs w:val="20"/>
              </w:rPr>
              <w:t>月</w:t>
            </w:r>
            <w:r>
              <w:rPr>
                <w:rFonts w:hint="eastAsia" w:ascii="Tahoma" w:hAnsi="Tahoma" w:eastAsia="Tahoma" w:cs="Tahoma"/>
                <w:color w:val="000000"/>
                <w:kern w:val="0"/>
                <w:sz w:val="20"/>
                <w:szCs w:val="20"/>
              </w:rPr>
              <w:t>19</w:t>
            </w:r>
            <w:r>
              <w:rPr>
                <w:rFonts w:hint="eastAsia" w:ascii="宋体" w:hAnsi="宋体" w:cs="宋体"/>
                <w:color w:val="000000"/>
                <w:kern w:val="0"/>
                <w:sz w:val="20"/>
                <w:szCs w:val="20"/>
              </w:rPr>
              <w:t>日</w:t>
            </w:r>
            <w:r>
              <w:rPr>
                <w:rFonts w:hint="eastAsia" w:ascii="Tahoma" w:hAnsi="Tahoma" w:eastAsia="Tahoma" w:cs="Tahoma"/>
                <w:color w:val="000000"/>
                <w:kern w:val="0"/>
                <w:sz w:val="20"/>
                <w:szCs w:val="20"/>
              </w:rPr>
              <w:t>-</w:t>
            </w:r>
            <w:r>
              <w:rPr>
                <w:rFonts w:hint="eastAsia" w:ascii="Tahoma" w:hAnsi="Tahoma" w:cs="Tahoma"/>
                <w:color w:val="000000"/>
                <w:kern w:val="0"/>
                <w:sz w:val="20"/>
                <w:szCs w:val="20"/>
                <w:lang w:val="en-US" w:eastAsia="zh-CN"/>
              </w:rPr>
              <w:t>2025</w:t>
            </w:r>
            <w:r>
              <w:rPr>
                <w:rFonts w:hint="eastAsia" w:ascii="宋体" w:hAnsi="宋体" w:cs="宋体"/>
                <w:color w:val="000000"/>
                <w:kern w:val="0"/>
                <w:sz w:val="20"/>
                <w:szCs w:val="20"/>
              </w:rPr>
              <w:t>年</w:t>
            </w:r>
            <w:r>
              <w:rPr>
                <w:rFonts w:hint="eastAsia" w:ascii="Tahoma" w:hAnsi="Tahoma" w:eastAsia="Tahoma" w:cs="Tahoma"/>
                <w:color w:val="000000"/>
                <w:kern w:val="0"/>
                <w:sz w:val="20"/>
                <w:szCs w:val="20"/>
              </w:rPr>
              <w:t>5</w:t>
            </w:r>
            <w:r>
              <w:rPr>
                <w:rFonts w:hint="eastAsia" w:ascii="宋体" w:hAnsi="宋体" w:cs="宋体"/>
                <w:color w:val="000000"/>
                <w:kern w:val="0"/>
                <w:sz w:val="20"/>
                <w:szCs w:val="20"/>
              </w:rPr>
              <w:t>月</w:t>
            </w:r>
            <w:r>
              <w:rPr>
                <w:rFonts w:hint="eastAsia" w:ascii="Tahoma" w:hAnsi="Tahoma" w:eastAsia="Tahoma" w:cs="Tahoma"/>
                <w:color w:val="000000"/>
                <w:kern w:val="0"/>
                <w:sz w:val="20"/>
                <w:szCs w:val="20"/>
              </w:rPr>
              <w:t>18</w:t>
            </w:r>
            <w:r>
              <w:rPr>
                <w:rFonts w:hint="eastAsia" w:ascii="宋体" w:hAnsi="宋体" w:cs="宋体"/>
                <w:color w:val="000000"/>
                <w:kern w:val="0"/>
                <w:sz w:val="20"/>
                <w:szCs w:val="20"/>
              </w:rPr>
              <w:t>日</w:t>
            </w:r>
          </w:p>
        </w:tc>
        <w:tc>
          <w:tcPr>
            <w:tcW w:w="1268" w:type="dxa"/>
            <w:vAlign w:val="center"/>
          </w:tcPr>
          <w:p>
            <w:pPr>
              <w:widowControl/>
              <w:jc w:val="center"/>
              <w:textAlignment w:val="bottom"/>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2034.6</w:t>
            </w:r>
          </w:p>
        </w:tc>
        <w:tc>
          <w:tcPr>
            <w:tcW w:w="1335" w:type="dxa"/>
            <w:vAlign w:val="center"/>
          </w:tcPr>
          <w:p>
            <w:pPr>
              <w:widowControl/>
              <w:jc w:val="center"/>
              <w:textAlignment w:val="bottom"/>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500万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1709" w:type="dxa"/>
            <w:tcBorders>
              <w:bottom w:val="single" w:color="auto" w:sz="4" w:space="0"/>
            </w:tcBorders>
            <w:vAlign w:val="center"/>
          </w:tcPr>
          <w:p>
            <w:pPr>
              <w:widowControl/>
              <w:jc w:val="center"/>
              <w:textAlignment w:val="center"/>
              <w:rPr>
                <w:rFonts w:ascii="仿宋_GB2312" w:hAnsi="宋体" w:eastAsia="仿宋_GB2312" w:cs="仿宋_GB2312"/>
                <w:bCs/>
                <w:color w:val="000000"/>
                <w:kern w:val="0"/>
                <w:sz w:val="24"/>
              </w:rPr>
            </w:pPr>
            <w:r>
              <w:rPr>
                <w:rFonts w:hint="eastAsia" w:ascii="仿宋_GB2312" w:hAnsi="宋体" w:eastAsia="仿宋_GB2312" w:cs="仿宋_GB2312"/>
                <w:bCs/>
                <w:color w:val="000000"/>
                <w:kern w:val="0"/>
                <w:sz w:val="24"/>
              </w:rPr>
              <w:t>海纳川99</w:t>
            </w:r>
          </w:p>
        </w:tc>
        <w:tc>
          <w:tcPr>
            <w:tcW w:w="3500" w:type="dxa"/>
            <w:tcBorders>
              <w:bottom w:val="single" w:color="auto" w:sz="4" w:space="0"/>
            </w:tcBorders>
            <w:vAlign w:val="center"/>
          </w:tcPr>
          <w:p>
            <w:pPr>
              <w:widowControl/>
              <w:jc w:val="center"/>
              <w:textAlignment w:val="center"/>
              <w:rPr>
                <w:rFonts w:hint="eastAsia" w:ascii="Tahoma" w:hAnsi="Tahoma" w:eastAsia="宋体" w:cs="Tahoma"/>
                <w:color w:val="000000"/>
                <w:kern w:val="0"/>
                <w:sz w:val="20"/>
                <w:szCs w:val="20"/>
                <w:lang w:val="en-US" w:eastAsia="zh-CN"/>
              </w:rPr>
            </w:pPr>
            <w:r>
              <w:rPr>
                <w:rFonts w:hint="eastAsia" w:ascii="Tahoma" w:hAnsi="Tahoma" w:cs="Tahoma"/>
                <w:color w:val="000000"/>
                <w:kern w:val="0"/>
                <w:sz w:val="20"/>
                <w:szCs w:val="20"/>
                <w:lang w:val="en-US" w:eastAsia="zh-CN"/>
              </w:rPr>
              <w:t>2024年11月21日-2025年11月20日</w:t>
            </w:r>
          </w:p>
        </w:tc>
        <w:tc>
          <w:tcPr>
            <w:tcW w:w="1268" w:type="dxa"/>
            <w:tcBorders>
              <w:bottom w:val="single" w:color="auto" w:sz="4" w:space="0"/>
            </w:tcBorders>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5187.67</w:t>
            </w:r>
          </w:p>
        </w:tc>
        <w:tc>
          <w:tcPr>
            <w:tcW w:w="1335" w:type="dxa"/>
            <w:tcBorders>
              <w:bottom w:val="single" w:color="auto" w:sz="4" w:space="0"/>
            </w:tcBorders>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highlight w:val="none"/>
                <w:lang w:val="en-US" w:eastAsia="zh-CN"/>
              </w:rPr>
              <w:t>1000</w:t>
            </w:r>
            <w:r>
              <w:rPr>
                <w:rFonts w:hint="eastAsia" w:ascii="仿宋_GB2312" w:hAnsi="宋体" w:eastAsia="仿宋_GB2312" w:cs="仿宋_GB2312"/>
                <w:color w:val="000000"/>
                <w:kern w:val="0"/>
                <w:sz w:val="24"/>
                <w:highlight w:val="none"/>
              </w:rPr>
              <w:t>万</w:t>
            </w:r>
          </w:p>
        </w:tc>
      </w:tr>
    </w:tbl>
    <w:p>
      <w:pPr>
        <w:numPr>
          <w:ilvl w:val="0"/>
          <w:numId w:val="1"/>
        </w:numPr>
        <w:spacing w:line="600" w:lineRule="exact"/>
        <w:ind w:firstLine="640" w:firstLineChars="200"/>
        <w:rPr>
          <w:rFonts w:hint="eastAsia" w:ascii="方正仿宋简体" w:hAnsi="方正仿宋简体" w:eastAsia="方正仿宋简体" w:cs="方正仿宋简体"/>
          <w:color w:val="000000"/>
          <w:kern w:val="2"/>
          <w:sz w:val="32"/>
          <w:szCs w:val="32"/>
          <w:lang w:val="en-US" w:eastAsia="zh-CN" w:bidi="ar-SA"/>
        </w:rPr>
      </w:pPr>
      <w:r>
        <w:rPr>
          <w:rFonts w:hint="eastAsia" w:ascii="方正仿宋简体" w:hAnsi="方正仿宋简体" w:eastAsia="方正仿宋简体" w:cs="方正仿宋简体"/>
          <w:color w:val="000000"/>
          <w:kern w:val="2"/>
          <w:sz w:val="32"/>
          <w:szCs w:val="32"/>
          <w:lang w:val="en-US" w:eastAsia="zh-CN" w:bidi="ar-SA"/>
        </w:rPr>
        <w:t>免赔额：</w:t>
      </w:r>
    </w:p>
    <w:p>
      <w:pPr>
        <w:pStyle w:val="7"/>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1.兴普006、兴普007、兴普009：每次事故绝对免赔额5000元或是损失金额的10%，两者以高者为准；</w:t>
      </w:r>
    </w:p>
    <w:p>
      <w:pPr>
        <w:pStyle w:val="7"/>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2.兴普008：每次事故绝对免赔额10000元或是损失金额的10%，两者以高者为准；</w:t>
      </w:r>
    </w:p>
    <w:p>
      <w:pPr>
        <w:pStyle w:val="7"/>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简体" w:hAnsi="方正仿宋简体" w:eastAsia="方正仿宋简体" w:cs="方正仿宋简体"/>
          <w:kern w:val="2"/>
          <w:sz w:val="32"/>
          <w:szCs w:val="32"/>
          <w:lang w:val="en-US" w:eastAsia="zh-CN" w:bidi="ar-SA"/>
        </w:rPr>
        <w:t>3.海纳川66、海纳川99：每次事故绝对免赔额20000元或是损失金额的10%，两者以高者为准。</w:t>
      </w:r>
    </w:p>
    <w:p>
      <w:pPr>
        <w:keepNext w:val="0"/>
        <w:keepLines w:val="0"/>
        <w:pageBreakBefore w:val="0"/>
        <w:widowControl w:val="0"/>
        <w:kinsoku/>
        <w:wordWrap w:val="0"/>
        <w:overflowPunct/>
        <w:topLinePunct w:val="0"/>
        <w:autoSpaceDE/>
        <w:autoSpaceDN/>
        <w:bidi w:val="0"/>
        <w:adjustRightInd/>
        <w:snapToGrid/>
        <w:ind w:firstLine="640" w:firstLineChars="200"/>
        <w:jc w:val="left"/>
        <w:textAlignment w:val="auto"/>
        <w:rPr>
          <w:rFonts w:hint="eastAsia"/>
          <w:highlight w:val="none"/>
          <w:lang w:val="zh-CN" w:eastAsia="zh-CN"/>
        </w:rPr>
      </w:pPr>
      <w:r>
        <w:rPr>
          <w:rFonts w:hint="eastAsia" w:ascii="方正黑体_GBK" w:hAnsi="方正黑体_GBK" w:eastAsia="方正黑体_GBK" w:cs="方正黑体_GBK"/>
          <w:sz w:val="32"/>
          <w:szCs w:val="32"/>
          <w:highlight w:val="none"/>
        </w:rPr>
        <w:t>三、投标人资质与要求</w:t>
      </w:r>
    </w:p>
    <w:p>
      <w:pPr>
        <w:spacing w:line="600" w:lineRule="exact"/>
        <w:ind w:firstLine="640" w:firstLineChars="200"/>
        <w:rPr>
          <w:rFonts w:hint="eastAsia" w:ascii="方正仿宋简体" w:hAnsi="方正仿宋简体" w:eastAsia="方正仿宋简体" w:cs="方正仿宋简体"/>
          <w:bCs/>
          <w:sz w:val="32"/>
          <w:szCs w:val="32"/>
          <w:highlight w:val="none"/>
          <w:lang w:val="zh-CN"/>
        </w:rPr>
      </w:pPr>
      <w:r>
        <w:rPr>
          <w:rFonts w:hint="eastAsia" w:ascii="方正楷体_GBK" w:hAnsi="方正楷体_GBK" w:eastAsia="方正楷体_GBK" w:cs="方正楷体_GBK"/>
          <w:color w:val="000000"/>
          <w:sz w:val="32"/>
          <w:szCs w:val="32"/>
          <w:highlight w:val="none"/>
          <w:lang w:val="en-US" w:eastAsia="zh-CN" w:bidi="ar-SA"/>
        </w:rPr>
        <w:t>（一）</w:t>
      </w:r>
      <w:r>
        <w:rPr>
          <w:rFonts w:hint="eastAsia" w:ascii="方正仿宋简体" w:hAnsi="方正仿宋简体" w:eastAsia="方正仿宋简体" w:cs="方正仿宋简体"/>
          <w:sz w:val="32"/>
          <w:szCs w:val="32"/>
          <w:highlight w:val="none"/>
        </w:rPr>
        <w:t>投标时需提供</w:t>
      </w:r>
      <w:r>
        <w:rPr>
          <w:rFonts w:hint="eastAsia" w:ascii="方正仿宋简体" w:hAnsi="方正仿宋简体" w:eastAsia="方正仿宋简体" w:cs="方正仿宋简体"/>
          <w:sz w:val="32"/>
          <w:szCs w:val="32"/>
          <w:highlight w:val="none"/>
          <w:lang w:eastAsia="zh-CN"/>
        </w:rPr>
        <w:t>：</w:t>
      </w:r>
    </w:p>
    <w:p>
      <w:pPr>
        <w:spacing w:line="600" w:lineRule="exact"/>
        <w:ind w:firstLine="640" w:firstLineChars="200"/>
        <w:rPr>
          <w:rFonts w:hint="eastAsia" w:ascii="方正仿宋简体" w:hAnsi="方正仿宋简体" w:eastAsia="方正仿宋简体" w:cs="方正仿宋简体"/>
          <w:bCs/>
          <w:color w:val="000000"/>
          <w:sz w:val="32"/>
          <w:szCs w:val="32"/>
          <w:highlight w:val="none"/>
          <w:lang w:val="zh-CN" w:eastAsia="zh-CN"/>
        </w:rPr>
      </w:pPr>
      <w:r>
        <w:rPr>
          <w:rFonts w:hint="eastAsia" w:ascii="方正仿宋简体" w:hAnsi="方正仿宋简体" w:eastAsia="方正仿宋简体" w:cs="方正仿宋简体"/>
          <w:bCs/>
          <w:color w:val="000000"/>
          <w:sz w:val="32"/>
          <w:szCs w:val="32"/>
          <w:highlight w:val="none"/>
          <w:lang w:val="en-US" w:eastAsia="zh-CN"/>
        </w:rPr>
        <w:t>1.《营业执照》、《税务登记证》、《组织机构代码证》（或三证合一）</w:t>
      </w:r>
      <w:r>
        <w:rPr>
          <w:rFonts w:hint="eastAsia" w:ascii="方正仿宋简体" w:hAnsi="方正仿宋简体" w:eastAsia="方正仿宋简体" w:cs="方正仿宋简体"/>
          <w:bCs/>
          <w:color w:val="000000"/>
          <w:sz w:val="32"/>
          <w:szCs w:val="32"/>
          <w:highlight w:val="none"/>
          <w:lang w:val="zh-CN" w:eastAsia="zh-CN"/>
        </w:rPr>
        <w:t>。</w:t>
      </w:r>
    </w:p>
    <w:p>
      <w:pPr>
        <w:spacing w:line="600" w:lineRule="exact"/>
        <w:ind w:firstLine="640" w:firstLineChars="200"/>
        <w:rPr>
          <w:rFonts w:hint="eastAsia" w:ascii="方正仿宋简体" w:hAnsi="方正仿宋简体" w:eastAsia="方正仿宋简体" w:cs="方正仿宋简体"/>
          <w:bCs/>
          <w:sz w:val="32"/>
          <w:szCs w:val="32"/>
          <w:lang w:val="zh-CN"/>
        </w:rPr>
      </w:pPr>
      <w:r>
        <w:rPr>
          <w:rFonts w:hint="eastAsia" w:ascii="方正仿宋简体" w:hAnsi="方正仿宋简体" w:eastAsia="方正仿宋简体" w:cs="方正仿宋简体"/>
          <w:bCs/>
          <w:sz w:val="32"/>
          <w:szCs w:val="32"/>
          <w:highlight w:val="none"/>
          <w:lang w:val="en-US" w:eastAsia="zh-CN"/>
        </w:rPr>
        <w:t>2.中国银行保险监督管理委员会颁发的《</w:t>
      </w:r>
      <w:r>
        <w:rPr>
          <w:rFonts w:hint="eastAsia" w:ascii="方正仿宋简体" w:hAnsi="方正仿宋简体" w:eastAsia="方正仿宋简体" w:cs="方正仿宋简体"/>
          <w:sz w:val="32"/>
          <w:szCs w:val="32"/>
          <w:highlight w:val="none"/>
        </w:rPr>
        <w:t>保险许可证</w:t>
      </w:r>
      <w:r>
        <w:rPr>
          <w:rFonts w:hint="eastAsia" w:ascii="方正仿宋简体" w:hAnsi="方正仿宋简体" w:eastAsia="方正仿宋简体" w:cs="方正仿宋简体"/>
          <w:bCs/>
          <w:sz w:val="32"/>
          <w:szCs w:val="32"/>
          <w:highlight w:val="none"/>
          <w:lang w:val="en-US" w:eastAsia="zh-CN"/>
        </w:rPr>
        <w:t>》</w:t>
      </w:r>
      <w:r>
        <w:rPr>
          <w:rFonts w:hint="eastAsia" w:ascii="方正仿宋简体" w:hAnsi="方正仿宋简体" w:eastAsia="方正仿宋简体" w:cs="方正仿宋简体"/>
          <w:bCs/>
          <w:sz w:val="32"/>
          <w:szCs w:val="32"/>
          <w:lang w:val="zh-CN"/>
        </w:rPr>
        <w:t>。</w:t>
      </w:r>
    </w:p>
    <w:p>
      <w:pPr>
        <w:adjustRightInd w:val="0"/>
        <w:snapToGrid w:val="0"/>
        <w:spacing w:line="600" w:lineRule="exact"/>
        <w:ind w:firstLine="640" w:firstLineChars="200"/>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color w:val="000000"/>
          <w:sz w:val="32"/>
          <w:szCs w:val="32"/>
          <w:lang w:val="en-US" w:eastAsia="zh-CN" w:bidi="ar-SA"/>
        </w:rPr>
        <w:t>（二）</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highlight w:val="none"/>
          <w:u w:val="single"/>
          <w:lang w:val="en-US" w:eastAsia="zh-CN"/>
        </w:rPr>
        <w:t>24小时</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highlight w:val="none"/>
          <w:lang w:eastAsia="zh-CN"/>
        </w:rPr>
        <w:t>。</w:t>
      </w:r>
    </w:p>
    <w:p>
      <w:pPr>
        <w:pStyle w:val="7"/>
        <w:spacing w:after="0" w:line="600" w:lineRule="exact"/>
        <w:ind w:firstLine="640" w:firstLineChars="200"/>
        <w:rPr>
          <w:rFonts w:hint="eastAsia" w:ascii="方正仿宋简体" w:hAnsi="方正仿宋简体" w:eastAsia="方正仿宋简体" w:cs="方正仿宋简体"/>
          <w:bCs/>
          <w:color w:val="FF0000"/>
          <w:sz w:val="32"/>
          <w:szCs w:val="32"/>
          <w:highlight w:val="none"/>
          <w:lang w:eastAsia="zh-CN"/>
        </w:rPr>
      </w:pPr>
      <w:r>
        <w:rPr>
          <w:rFonts w:hint="eastAsia" w:ascii="方正楷体_GBK" w:hAnsi="方正楷体_GBK" w:eastAsia="方正楷体_GBK" w:cs="方正楷体_GBK"/>
          <w:color w:val="FF0000"/>
          <w:sz w:val="32"/>
          <w:szCs w:val="32"/>
          <w:lang w:val="en-US" w:eastAsia="zh-CN" w:bidi="ar-SA"/>
        </w:rPr>
        <w:t>（三）</w:t>
      </w:r>
      <w:r>
        <w:rPr>
          <w:rFonts w:hint="eastAsia" w:ascii="方正仿宋简体" w:hAnsi="方正仿宋简体" w:eastAsia="方正仿宋简体" w:cs="方正仿宋简体"/>
          <w:bCs/>
          <w:color w:val="FF0000"/>
          <w:sz w:val="32"/>
          <w:szCs w:val="32"/>
          <w:highlight w:val="none"/>
        </w:rPr>
        <w:t>不接受被列入失信被执行人、重大违法案件当事人投标</w:t>
      </w:r>
      <w:r>
        <w:rPr>
          <w:rFonts w:hint="eastAsia" w:ascii="方正仿宋简体" w:hAnsi="方正仿宋简体" w:eastAsia="方正仿宋简体" w:cs="方正仿宋简体"/>
          <w:bCs/>
          <w:color w:val="FF0000"/>
          <w:sz w:val="32"/>
          <w:szCs w:val="32"/>
          <w:highlight w:val="none"/>
          <w:lang w:eastAsia="zh-CN"/>
        </w:rPr>
        <w:t>。</w:t>
      </w:r>
    </w:p>
    <w:p>
      <w:pPr>
        <w:pStyle w:val="8"/>
        <w:ind w:firstLine="640" w:firstLineChars="200"/>
        <w:rPr>
          <w:rFonts w:hint="eastAsia" w:ascii="方正仿宋简体" w:hAnsi="方正仿宋简体" w:eastAsia="方正仿宋简体" w:cs="方正仿宋简体"/>
          <w:bCs/>
          <w:color w:val="000000"/>
          <w:kern w:val="0"/>
          <w:sz w:val="32"/>
          <w:szCs w:val="32"/>
          <w:lang w:val="en-US" w:eastAsia="zh-CN" w:bidi="ar-SA"/>
        </w:rPr>
      </w:pPr>
      <w:r>
        <w:rPr>
          <w:rFonts w:hint="eastAsia" w:ascii="方正楷体_GBK" w:hAnsi="方正楷体_GBK" w:eastAsia="方正楷体_GBK" w:cs="方正楷体_GBK"/>
          <w:color w:val="auto"/>
          <w:kern w:val="0"/>
          <w:sz w:val="32"/>
          <w:szCs w:val="32"/>
          <w:lang w:val="en-US" w:eastAsia="zh-CN" w:bidi="ar-SA"/>
        </w:rPr>
        <w:t>（四）</w:t>
      </w:r>
      <w:r>
        <w:rPr>
          <w:rFonts w:hint="eastAsia" w:ascii="方正仿宋简体" w:hAnsi="方正仿宋简体" w:eastAsia="方正仿宋简体" w:cs="方正仿宋简体"/>
          <w:bCs/>
          <w:color w:val="000000"/>
          <w:kern w:val="0"/>
          <w:sz w:val="32"/>
          <w:szCs w:val="32"/>
          <w:lang w:val="en-US" w:eastAsia="zh-CN" w:bidi="ar-SA"/>
        </w:rPr>
        <w:t>其他要求</w:t>
      </w:r>
    </w:p>
    <w:p>
      <w:pPr>
        <w:pStyle w:val="8"/>
        <w:ind w:firstLine="640"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bCs/>
          <w:color w:val="000000"/>
          <w:kern w:val="0"/>
          <w:sz w:val="32"/>
          <w:szCs w:val="32"/>
          <w:lang w:val="en-US" w:eastAsia="zh-CN" w:bidi="ar-SA"/>
        </w:rPr>
        <w:t>1.</w:t>
      </w:r>
      <w:r>
        <w:rPr>
          <w:rFonts w:hint="eastAsia" w:ascii="方正仿宋简体" w:hAnsi="方正仿宋简体" w:eastAsia="方正仿宋简体" w:cs="方正仿宋简体"/>
          <w:sz w:val="32"/>
          <w:szCs w:val="32"/>
        </w:rPr>
        <w:t>投标</w:t>
      </w:r>
      <w:r>
        <w:rPr>
          <w:rFonts w:hint="eastAsia" w:ascii="方正仿宋简体" w:hAnsi="方正仿宋简体" w:eastAsia="方正仿宋简体" w:cs="方正仿宋简体"/>
          <w:sz w:val="32"/>
          <w:szCs w:val="32"/>
          <w:lang w:val="en-US" w:eastAsia="zh-CN"/>
        </w:rPr>
        <w:t>人</w:t>
      </w:r>
      <w:r>
        <w:rPr>
          <w:rFonts w:hint="eastAsia" w:ascii="方正仿宋简体" w:hAnsi="方正仿宋简体" w:eastAsia="方正仿宋简体" w:cs="方正仿宋简体"/>
          <w:sz w:val="32"/>
          <w:szCs w:val="32"/>
        </w:rPr>
        <w:t>具有承保本次招标公司提出险种的经营范围</w:t>
      </w:r>
      <w:r>
        <w:rPr>
          <w:rFonts w:hint="eastAsia" w:ascii="方正仿宋简体" w:hAnsi="方正仿宋简体" w:eastAsia="方正仿宋简体" w:cs="方正仿宋简体"/>
          <w:sz w:val="32"/>
          <w:szCs w:val="32"/>
          <w:lang w:eastAsia="zh-CN"/>
        </w:rPr>
        <w:t>；</w:t>
      </w:r>
    </w:p>
    <w:p>
      <w:pPr>
        <w:pStyle w:val="8"/>
        <w:ind w:firstLine="640" w:firstLineChars="200"/>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bCs/>
          <w:color w:val="000000"/>
          <w:kern w:val="1"/>
          <w:sz w:val="32"/>
          <w:szCs w:val="32"/>
          <w:lang w:val="en-US" w:eastAsia="zh-CN" w:bidi="ar-SA"/>
        </w:rPr>
        <w:t>投标人在承保安排、人员组织、业</w:t>
      </w:r>
      <w:r>
        <w:rPr>
          <w:rFonts w:hint="eastAsia" w:ascii="方正仿宋简体" w:hAnsi="方正仿宋简体" w:eastAsia="方正仿宋简体" w:cs="方正仿宋简体"/>
          <w:sz w:val="32"/>
          <w:szCs w:val="32"/>
          <w:lang w:val="en-US" w:eastAsia="zh-CN"/>
        </w:rPr>
        <w:t>绩经验、方案设计、经营管理和配套服务等方面需提供相对应的资格和能力保险服务方案。</w:t>
      </w:r>
    </w:p>
    <w:p>
      <w:pPr>
        <w:pStyle w:val="8"/>
        <w:spacing w:line="600" w:lineRule="exact"/>
        <w:ind w:firstLine="640" w:firstLineChars="200"/>
        <w:rPr>
          <w:rFonts w:hint="default"/>
          <w:lang w:val="en-US" w:eastAsia="zh-CN"/>
        </w:rPr>
      </w:pPr>
      <w:r>
        <w:rPr>
          <w:rFonts w:hint="eastAsia" w:ascii="方正黑体_GBK" w:hAnsi="方正黑体_GBK" w:eastAsia="方正黑体_GBK" w:cs="方正黑体_GBK"/>
          <w:kern w:val="2"/>
          <w:sz w:val="32"/>
          <w:szCs w:val="32"/>
        </w:rPr>
        <w:t>四、投标</w:t>
      </w:r>
    </w:p>
    <w:p>
      <w:pPr>
        <w:spacing w:line="600" w:lineRule="exact"/>
        <w:ind w:firstLine="640" w:firstLineChars="200"/>
        <w:rPr>
          <w:rFonts w:hint="default"/>
          <w:lang w:val="en-US" w:eastAsia="zh-CN"/>
        </w:rPr>
      </w:pPr>
      <w:r>
        <w:rPr>
          <w:rFonts w:hint="eastAsia" w:ascii="方正楷体_GBK" w:hAnsi="方正楷体_GBK" w:eastAsia="方正楷体_GBK" w:cs="方正楷体_GBK"/>
          <w:color w:val="000000"/>
          <w:sz w:val="32"/>
          <w:szCs w:val="32"/>
          <w:lang w:val="en-US" w:eastAsia="zh-CN" w:bidi="ar-SA"/>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highlight w:val="none"/>
          <w:lang w:eastAsia="zh-CN"/>
        </w:rPr>
        <w:t>。</w:t>
      </w:r>
    </w:p>
    <w:p>
      <w:pPr>
        <w:spacing w:line="600" w:lineRule="exact"/>
        <w:ind w:firstLine="640" w:firstLineChars="200"/>
        <w:rPr>
          <w:rFonts w:hint="eastAsia" w:ascii="方正仿宋简体" w:hAnsi="方正仿宋简体" w:eastAsia="方正仿宋简体" w:cs="方正仿宋简体"/>
          <w:bCs/>
          <w:sz w:val="32"/>
          <w:szCs w:val="32"/>
          <w:lang w:val="zh-CN" w:eastAsia="zh-CN"/>
        </w:rPr>
      </w:pPr>
      <w:r>
        <w:rPr>
          <w:rFonts w:hint="eastAsia" w:ascii="方正楷体_GBK" w:hAnsi="方正楷体_GBK" w:eastAsia="方正楷体_GBK" w:cs="方正楷体_GBK"/>
          <w:color w:val="000000"/>
          <w:sz w:val="32"/>
          <w:szCs w:val="32"/>
          <w:lang w:val="en-US" w:eastAsia="zh-CN" w:bidi="ar-SA"/>
        </w:rPr>
        <w:t>（二）</w:t>
      </w:r>
      <w:r>
        <w:rPr>
          <w:rFonts w:hint="eastAsia" w:ascii="方正仿宋简体" w:hAnsi="方正仿宋简体" w:eastAsia="方正仿宋简体" w:cs="方正仿宋简体"/>
          <w:bCs/>
          <w:sz w:val="32"/>
          <w:szCs w:val="32"/>
          <w:lang w:val="zh-CN"/>
        </w:rPr>
        <w:t>付款</w:t>
      </w:r>
      <w:r>
        <w:rPr>
          <w:rFonts w:hint="eastAsia" w:ascii="方正仿宋简体" w:hAnsi="方正仿宋简体" w:eastAsia="方正仿宋简体" w:cs="方正仿宋简体"/>
          <w:bCs/>
          <w:sz w:val="32"/>
          <w:szCs w:val="32"/>
          <w:lang w:val="en-US" w:eastAsia="zh-CN"/>
        </w:rPr>
        <w:t>方式</w:t>
      </w:r>
      <w:r>
        <w:rPr>
          <w:rFonts w:hint="eastAsia" w:ascii="方正仿宋简体" w:hAnsi="方正仿宋简体" w:eastAsia="方正仿宋简体" w:cs="方正仿宋简体"/>
          <w:bCs/>
          <w:sz w:val="32"/>
          <w:szCs w:val="32"/>
          <w:lang w:val="zh-CN"/>
        </w:rPr>
        <w:t>：</w:t>
      </w:r>
      <w:r>
        <w:rPr>
          <w:rFonts w:hint="eastAsia" w:ascii="方正仿宋简体" w:hAnsi="方正仿宋简体" w:eastAsia="方正仿宋简体" w:cs="方正仿宋简体"/>
          <w:sz w:val="32"/>
          <w:szCs w:val="32"/>
        </w:rPr>
        <w:t>本保险项目付款方式为采用</w:t>
      </w:r>
      <w:r>
        <w:rPr>
          <w:rFonts w:hint="eastAsia" w:ascii="方正仿宋简体" w:hAnsi="方正仿宋简体" w:eastAsia="方正仿宋简体" w:cs="方正仿宋简体"/>
          <w:sz w:val="32"/>
          <w:szCs w:val="32"/>
          <w:lang w:val="en-US" w:eastAsia="zh-CN"/>
        </w:rPr>
        <w:t>一次性银行汇款</w:t>
      </w:r>
      <w:r>
        <w:rPr>
          <w:rFonts w:hint="eastAsia" w:ascii="方正仿宋简体" w:hAnsi="方正仿宋简体" w:eastAsia="方正仿宋简体" w:cs="方正仿宋简体"/>
          <w:sz w:val="32"/>
          <w:szCs w:val="32"/>
        </w:rPr>
        <w:t>方式</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招标方自收到</w:t>
      </w:r>
      <w:r>
        <w:rPr>
          <w:rFonts w:hint="eastAsia" w:ascii="方正仿宋简体" w:hAnsi="方正仿宋简体" w:eastAsia="方正仿宋简体" w:cs="方正仿宋简体"/>
          <w:sz w:val="32"/>
          <w:szCs w:val="32"/>
          <w:lang w:val="en-US" w:eastAsia="zh-CN"/>
        </w:rPr>
        <w:t>中标方开出保单</w:t>
      </w:r>
      <w:r>
        <w:rPr>
          <w:rFonts w:hint="eastAsia" w:ascii="方正仿宋简体" w:hAnsi="方正仿宋简体" w:eastAsia="方正仿宋简体" w:cs="方正仿宋简体"/>
          <w:sz w:val="32"/>
          <w:szCs w:val="32"/>
        </w:rPr>
        <w:t>并且收到中标方开具的增值税专用发票后</w:t>
      </w:r>
      <w:r>
        <w:rPr>
          <w:rFonts w:hint="eastAsia" w:ascii="方正仿宋简体" w:hAnsi="方正仿宋简体" w:eastAsia="方正仿宋简体" w:cs="方正仿宋简体"/>
          <w:sz w:val="32"/>
          <w:szCs w:val="32"/>
          <w:lang w:val="en-US" w:eastAsia="zh-CN"/>
        </w:rPr>
        <w:t>20个工作日内</w:t>
      </w:r>
      <w:r>
        <w:rPr>
          <w:rFonts w:hint="eastAsia" w:ascii="方正仿宋简体" w:hAnsi="方正仿宋简体" w:eastAsia="方正仿宋简体" w:cs="方正仿宋简体"/>
          <w:sz w:val="32"/>
          <w:szCs w:val="32"/>
        </w:rPr>
        <w:t>以</w:t>
      </w:r>
      <w:r>
        <w:rPr>
          <w:rFonts w:hint="eastAsia" w:ascii="方正仿宋简体" w:hAnsi="方正仿宋简体" w:eastAsia="方正仿宋简体" w:cs="方正仿宋简体"/>
          <w:sz w:val="32"/>
          <w:szCs w:val="32"/>
          <w:lang w:val="en-US" w:eastAsia="zh-CN"/>
        </w:rPr>
        <w:t>银行汇款</w:t>
      </w:r>
      <w:r>
        <w:rPr>
          <w:rFonts w:hint="eastAsia" w:ascii="方正仿宋简体" w:hAnsi="方正仿宋简体" w:eastAsia="方正仿宋简体" w:cs="方正仿宋简体"/>
          <w:sz w:val="32"/>
          <w:szCs w:val="32"/>
        </w:rPr>
        <w:t>方式付款。保险公司支付保险理赔款同样采用</w:t>
      </w:r>
      <w:r>
        <w:rPr>
          <w:rFonts w:hint="eastAsia" w:ascii="方正仿宋简体" w:hAnsi="方正仿宋简体" w:eastAsia="方正仿宋简体" w:cs="方正仿宋简体"/>
          <w:sz w:val="32"/>
          <w:szCs w:val="32"/>
          <w:lang w:val="en-US" w:eastAsia="zh-CN"/>
        </w:rPr>
        <w:t>银行汇款</w:t>
      </w:r>
      <w:r>
        <w:rPr>
          <w:rFonts w:hint="eastAsia" w:ascii="方正仿宋简体" w:hAnsi="方正仿宋简体" w:eastAsia="方正仿宋简体" w:cs="方正仿宋简体"/>
          <w:sz w:val="32"/>
          <w:szCs w:val="32"/>
        </w:rPr>
        <w:t>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本项目投标通过线下方式进行：</w:t>
      </w:r>
    </w:p>
    <w:p>
      <w:pPr>
        <w:wordWrap w:val="0"/>
        <w:spacing w:line="600" w:lineRule="exact"/>
        <w:ind w:firstLine="640" w:firstLineChars="200"/>
        <w:jc w:val="left"/>
        <w:rPr>
          <w:rFonts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bCs/>
          <w:kern w:val="1"/>
          <w:sz w:val="32"/>
          <w:szCs w:val="32"/>
          <w:highlight w:val="none"/>
        </w:rPr>
        <w:t>采用线下投标应</w:t>
      </w:r>
      <w:r>
        <w:rPr>
          <w:rFonts w:hint="eastAsia" w:ascii="方正仿宋简体" w:hAnsi="方正仿宋简体" w:eastAsia="方正仿宋简体" w:cs="方正仿宋简体"/>
          <w:bCs/>
          <w:sz w:val="32"/>
          <w:szCs w:val="32"/>
          <w:highlight w:val="none"/>
        </w:rPr>
        <w:t>将报价书及相关资料以标袋形式送达，标袋必须密封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之前送达，逾期将作为废标处理。</w:t>
      </w:r>
    </w:p>
    <w:p>
      <w:pPr>
        <w:pStyle w:val="7"/>
        <w:spacing w:after="0" w:line="600" w:lineRule="exact"/>
        <w:ind w:firstLine="640" w:firstLineChars="200"/>
        <w:rPr>
          <w:rFonts w:hint="eastAsia" w:ascii="方正仿宋简体" w:hAnsi="方正仿宋简体" w:eastAsia="方正仿宋简体" w:cs="方正仿宋简体"/>
          <w:sz w:val="32"/>
          <w:szCs w:val="32"/>
          <w:highlight w:val="none"/>
          <w:lang w:eastAsia="zh-CN"/>
        </w:rPr>
      </w:pPr>
      <w:r>
        <w:rPr>
          <w:rFonts w:hint="eastAsia" w:ascii="方正楷体_GBK" w:hAnsi="方正楷体_GBK" w:eastAsia="方正楷体_GBK" w:cs="方正楷体_GBK"/>
          <w:kern w:val="1"/>
          <w:sz w:val="32"/>
          <w:szCs w:val="32"/>
          <w:highlight w:val="none"/>
        </w:rPr>
        <w:t>（四）</w:t>
      </w:r>
      <w:r>
        <w:rPr>
          <w:rFonts w:hint="eastAsia" w:ascii="方正仿宋简体" w:hAnsi="方正仿宋简体" w:eastAsia="方正仿宋简体" w:cs="方正仿宋简体"/>
          <w:kern w:val="1"/>
          <w:sz w:val="32"/>
          <w:szCs w:val="32"/>
          <w:highlight w:val="none"/>
        </w:rPr>
        <w:t>具体报价格式见报价函，</w:t>
      </w:r>
      <w:r>
        <w:rPr>
          <w:rFonts w:hint="eastAsia" w:ascii="方正仿宋简体" w:hAnsi="方正仿宋简体" w:eastAsia="方正仿宋简体" w:cs="方正仿宋简体"/>
          <w:kern w:val="1"/>
          <w:sz w:val="32"/>
          <w:szCs w:val="32"/>
          <w:highlight w:val="none"/>
          <w:lang w:val="en-US" w:eastAsia="zh-CN"/>
        </w:rPr>
        <w:t>投标</w:t>
      </w:r>
      <w:r>
        <w:rPr>
          <w:rFonts w:hint="eastAsia" w:ascii="方正仿宋简体" w:hAnsi="方正仿宋简体" w:eastAsia="方正仿宋简体" w:cs="方正仿宋简体"/>
          <w:kern w:val="1"/>
          <w:sz w:val="32"/>
          <w:szCs w:val="32"/>
          <w:highlight w:val="none"/>
        </w:rPr>
        <w:t>文件需提供</w:t>
      </w:r>
      <w:r>
        <w:rPr>
          <w:rFonts w:hint="eastAsia" w:ascii="方正仿宋简体" w:hAnsi="方正仿宋简体" w:eastAsia="方正仿宋简体" w:cs="方正仿宋简体"/>
          <w:color w:val="FF0000"/>
          <w:kern w:val="1"/>
          <w:sz w:val="32"/>
          <w:szCs w:val="32"/>
          <w:highlight w:val="none"/>
          <w:u w:val="single"/>
          <w:lang w:val="en-US" w:eastAsia="zh-CN"/>
        </w:rPr>
        <w:t>2</w:t>
      </w:r>
      <w:r>
        <w:rPr>
          <w:rFonts w:hint="eastAsia" w:ascii="方正仿宋简体" w:hAnsi="方正仿宋简体" w:eastAsia="方正仿宋简体" w:cs="方正仿宋简体"/>
          <w:kern w:val="1"/>
          <w:sz w:val="32"/>
          <w:szCs w:val="32"/>
          <w:highlight w:val="none"/>
        </w:rPr>
        <w:t>份</w:t>
      </w:r>
      <w:r>
        <w:rPr>
          <w:rFonts w:hint="eastAsia" w:ascii="方正仿宋简体" w:hAnsi="方正仿宋简体" w:eastAsia="方正仿宋简体" w:cs="方正仿宋简体"/>
          <w:kern w:val="1"/>
          <w:sz w:val="32"/>
          <w:szCs w:val="32"/>
          <w:highlight w:val="none"/>
          <w:lang w:eastAsia="zh-CN"/>
        </w:rPr>
        <w:t>。</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highlight w:val="none"/>
        </w:rPr>
      </w:pPr>
      <w:r>
        <w:rPr>
          <w:rFonts w:hint="eastAsia" w:ascii="方正楷体_GBK" w:hAnsi="方正楷体_GBK" w:eastAsia="方正楷体_GBK" w:cs="方正楷体_GBK"/>
          <w:bCs/>
          <w:kern w:val="1"/>
          <w:sz w:val="32"/>
          <w:szCs w:val="32"/>
          <w:highlight w:val="none"/>
        </w:rPr>
        <w:t>（五）</w:t>
      </w:r>
      <w:r>
        <w:rPr>
          <w:rFonts w:hint="eastAsia" w:ascii="方正仿宋简体" w:hAnsi="方正仿宋简体" w:eastAsia="方正仿宋简体" w:cs="方正仿宋简体"/>
          <w:bCs/>
          <w:kern w:val="1"/>
          <w:sz w:val="32"/>
          <w:szCs w:val="32"/>
          <w:highlight w:val="none"/>
        </w:rPr>
        <w:t>采用线下投标的，投标文件请密封邮寄：</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highlight w:val="none"/>
        </w:rPr>
      </w:pPr>
      <w:r>
        <w:rPr>
          <w:rFonts w:hint="eastAsia" w:ascii="方正仿宋简体" w:hAnsi="方正仿宋简体" w:eastAsia="方正仿宋简体" w:cs="方正仿宋简体"/>
          <w:bCs/>
          <w:kern w:val="1"/>
          <w:sz w:val="32"/>
          <w:szCs w:val="32"/>
          <w:highlight w:val="none"/>
        </w:rPr>
        <w:t>公司：</w:t>
      </w:r>
      <w:r>
        <w:rPr>
          <w:rFonts w:hint="eastAsia" w:ascii="方正仿宋简体" w:hAnsi="方正仿宋简体" w:eastAsia="方正仿宋简体" w:cs="方正仿宋简体"/>
          <w:bCs/>
          <w:kern w:val="1"/>
          <w:sz w:val="30"/>
          <w:szCs w:val="30"/>
          <w:highlight w:val="none"/>
        </w:rPr>
        <w:t>镇江海纳川物流产业发展有限责任公司</w:t>
      </w:r>
      <w:r>
        <w:rPr>
          <w:rFonts w:hint="eastAsia" w:ascii="方正仿宋简体" w:hAnsi="方正仿宋简体" w:eastAsia="方正仿宋简体" w:cs="方正仿宋简体"/>
          <w:bCs/>
          <w:kern w:val="1"/>
          <w:sz w:val="30"/>
          <w:szCs w:val="30"/>
          <w:highlight w:val="none"/>
          <w:lang w:val="en-US" w:eastAsia="zh-CN"/>
        </w:rPr>
        <w:t>审计风控</w:t>
      </w:r>
      <w:r>
        <w:rPr>
          <w:rFonts w:hint="eastAsia" w:ascii="方正仿宋简体" w:hAnsi="方正仿宋简体" w:eastAsia="方正仿宋简体" w:cs="方正仿宋简体"/>
          <w:bCs/>
          <w:kern w:val="1"/>
          <w:sz w:val="30"/>
          <w:szCs w:val="30"/>
          <w:highlight w:val="none"/>
        </w:rPr>
        <w:t>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rPr>
        <w:t>联系电话：</w:t>
      </w:r>
      <w:r>
        <w:rPr>
          <w:rFonts w:hint="eastAsia" w:ascii="方正仿宋简体" w:hAnsi="方正仿宋简体" w:eastAsia="方正仿宋简体" w:cs="方正仿宋简体"/>
          <w:bCs/>
          <w:kern w:val="1"/>
          <w:sz w:val="32"/>
          <w:szCs w:val="32"/>
          <w:highlight w:val="none"/>
        </w:rPr>
        <w:t>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highlight w:val="none"/>
          <w:lang w:val="en-US" w:eastAsia="zh-CN"/>
        </w:rPr>
      </w:pPr>
      <w:r>
        <w:rPr>
          <w:rFonts w:hint="eastAsia" w:ascii="方正仿宋简体" w:hAnsi="方正仿宋简体" w:eastAsia="方正仿宋简体" w:cs="方正仿宋简体"/>
          <w:bCs/>
          <w:kern w:val="1"/>
          <w:sz w:val="32"/>
          <w:szCs w:val="32"/>
          <w:highlight w:val="none"/>
        </w:rPr>
        <w:t>招标业务联系电话：</w:t>
      </w:r>
      <w:r>
        <w:rPr>
          <w:rFonts w:hint="eastAsia" w:ascii="方正仿宋简体" w:hAnsi="方正仿宋简体" w:eastAsia="方正仿宋简体" w:cs="方正仿宋简体"/>
          <w:bCs/>
          <w:kern w:val="1"/>
          <w:sz w:val="32"/>
          <w:szCs w:val="32"/>
          <w:highlight w:val="none"/>
          <w:lang w:val="en-US" w:eastAsia="zh-CN"/>
        </w:rPr>
        <w:t>15805287835 何敏</w:t>
      </w:r>
    </w:p>
    <w:p>
      <w:pPr>
        <w:pStyle w:val="2"/>
        <w:ind w:left="0" w:leftChars="0" w:firstLine="640" w:firstLineChars="200"/>
        <w:rPr>
          <w:rFonts w:hint="default"/>
          <w:lang w:val="en-US" w:eastAsia="zh-CN"/>
        </w:rPr>
      </w:pPr>
      <w:r>
        <w:rPr>
          <w:rFonts w:hint="eastAsia" w:ascii="方正仿宋简体" w:hAnsi="方正仿宋简体" w:eastAsia="方正仿宋简体" w:cs="方正仿宋简体"/>
          <w:bCs/>
          <w:kern w:val="1"/>
          <w:sz w:val="32"/>
          <w:szCs w:val="32"/>
          <w:highlight w:val="none"/>
          <w:lang w:val="en-US" w:eastAsia="zh-CN"/>
        </w:rPr>
        <w:t>招标技术</w:t>
      </w:r>
      <w:r>
        <w:rPr>
          <w:rFonts w:hint="eastAsia" w:ascii="方正仿宋简体" w:hAnsi="方正仿宋简体" w:eastAsia="方正仿宋简体" w:cs="方正仿宋简体"/>
          <w:bCs/>
          <w:kern w:val="1"/>
          <w:sz w:val="32"/>
          <w:szCs w:val="32"/>
          <w:highlight w:val="none"/>
        </w:rPr>
        <w:t>联系电话：</w:t>
      </w:r>
      <w:r>
        <w:rPr>
          <w:rFonts w:hint="eastAsia" w:ascii="方正仿宋简体" w:hAnsi="方正仿宋简体" w:eastAsia="方正仿宋简体" w:cs="方正仿宋简体"/>
          <w:sz w:val="32"/>
          <w:szCs w:val="32"/>
          <w:lang w:val="en-US" w:eastAsia="zh-CN"/>
        </w:rPr>
        <w:t>15952878706 王月</w:t>
      </w:r>
    </w:p>
    <w:p>
      <w:pPr>
        <w:pStyle w:val="8"/>
        <w:numPr>
          <w:ilvl w:val="0"/>
          <w:numId w:val="0"/>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color w:val="000000"/>
          <w:kern w:val="2"/>
          <w:sz w:val="32"/>
          <w:szCs w:val="32"/>
          <w:lang w:val="en-US" w:eastAsia="zh-CN" w:bidi="ar-SA"/>
        </w:rPr>
        <w:t>五、</w:t>
      </w: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2.评标小组不得泄露各投标人的报价。</w:t>
      </w:r>
    </w:p>
    <w:p>
      <w:pPr>
        <w:spacing w:line="360" w:lineRule="auto"/>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both"/>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both"/>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color w:val="FF0000"/>
          <w:kern w:val="1"/>
          <w:sz w:val="32"/>
          <w:szCs w:val="32"/>
        </w:rPr>
        <w:t>通用</w:t>
      </w:r>
      <w:r>
        <w:rPr>
          <w:rFonts w:hint="eastAsia" w:ascii="方正仿宋简体" w:hAnsi="方正仿宋简体" w:eastAsia="方正仿宋简体" w:cs="方正仿宋简体"/>
          <w:color w:val="FF0000"/>
          <w:sz w:val="32"/>
          <w:szCs w:val="32"/>
        </w:rPr>
        <w:t>（本次采用该种评标方式）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kern w:val="1"/>
          <w:sz w:val="32"/>
          <w:szCs w:val="32"/>
        </w:rPr>
        <w:t>在能够满足招标人技术要求及供货期要求的投标人中选择</w:t>
      </w:r>
      <w:r>
        <w:rPr>
          <w:rFonts w:hint="eastAsia" w:ascii="方正仿宋简体" w:hAnsi="方正仿宋简体" w:eastAsia="方正仿宋简体" w:cs="方正仿宋简体"/>
          <w:bCs/>
          <w:color w:val="FF0000"/>
          <w:kern w:val="1"/>
          <w:sz w:val="32"/>
          <w:szCs w:val="32"/>
          <w:highlight w:val="none"/>
          <w:lang w:val="en-US" w:eastAsia="zh-CN"/>
        </w:rPr>
        <w:t>价格最低</w:t>
      </w:r>
      <w:r>
        <w:rPr>
          <w:rFonts w:hint="eastAsia" w:ascii="方正仿宋简体" w:hAnsi="方正仿宋简体" w:eastAsia="方正仿宋简体" w:cs="方正仿宋简体"/>
          <w:bCs/>
          <w:kern w:val="1"/>
          <w:sz w:val="32"/>
          <w:szCs w:val="32"/>
        </w:rPr>
        <w:t>的一家投标人作为中标候选人。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spacing w:line="600" w:lineRule="exact"/>
        <w:ind w:firstLine="640" w:firstLineChars="200"/>
        <w:rPr>
          <w:rFonts w:hint="eastAsia" w:ascii="方正黑体_GBK" w:hAnsi="方正黑体_GBK" w:eastAsia="方正黑体_GBK" w:cs="方正黑体_GBK"/>
          <w:color w:val="000000"/>
          <w:kern w:val="2"/>
          <w:sz w:val="32"/>
          <w:szCs w:val="32"/>
          <w:lang w:val="en-US" w:eastAsia="zh-CN" w:bidi="ar-SA"/>
        </w:rPr>
      </w:pPr>
      <w:r>
        <w:rPr>
          <w:rFonts w:hint="eastAsia" w:ascii="方正黑体_GBK" w:hAnsi="方正黑体_GBK" w:eastAsia="方正黑体_GBK" w:cs="方正黑体_GBK"/>
          <w:color w:val="000000"/>
          <w:kern w:val="2"/>
          <w:sz w:val="32"/>
          <w:szCs w:val="32"/>
          <w:lang w:val="en-US" w:eastAsia="zh-CN" w:bidi="ar-SA"/>
        </w:rPr>
        <w:t>六、其他注意事项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未经招标人允许,中标人不得以任何方式将本项目分包给第三方，否则按本合同总价的10%作为违约金，同时招标人有权终止本合同。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中标人应严格按照标书约定与招标方签定供需合同，并按合同约定做好服务工作。对中标人所有违背标书及合同约定的行为，招标人均可持续保留与中标方中止合作的一切权利。</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w:t>
      </w: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w:t>
      </w:r>
    </w:p>
    <w:p>
      <w:pPr>
        <w:pStyle w:val="7"/>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外协作业人员需先进行安全教育培训。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b/>
          <w:kern w:val="1"/>
          <w:sz w:val="24"/>
        </w:rPr>
      </w:pPr>
      <w:r>
        <w:rPr>
          <w:rFonts w:hint="eastAsia" w:ascii="方正仿宋简体" w:hAnsi="方正仿宋简体" w:eastAsia="方正仿宋简体" w:cs="方正仿宋简体"/>
          <w:bCs/>
          <w:color w:val="auto"/>
          <w:kern w:val="1"/>
          <w:sz w:val="32"/>
          <w:szCs w:val="32"/>
          <w:highlight w:val="none"/>
          <w:lang w:val="en-US" w:eastAsia="zh-CN"/>
        </w:rPr>
        <w:br w:type="page"/>
      </w:r>
    </w:p>
    <w:p>
      <w:pPr>
        <w:pStyle w:val="12"/>
        <w:adjustRightInd w:val="0"/>
        <w:snapToGrid w:val="0"/>
        <w:spacing w:before="0" w:after="0" w:line="600" w:lineRule="exact"/>
        <w:jc w:val="left"/>
        <w:rPr>
          <w:rFonts w:hint="eastAsia" w:ascii="方正黑体_GBK" w:hAnsi="方正黑体_GBK" w:eastAsia="方正仿宋简体" w:cs="方正黑体_GBK"/>
          <w:b w:val="0"/>
          <w:highlight w:val="none"/>
          <w:lang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1</w:t>
      </w:r>
      <w:r>
        <w:rPr>
          <w:rFonts w:hint="eastAsia" w:ascii="方正仿宋简体" w:hAnsi="方正仿宋简体" w:eastAsia="方正仿宋简体" w:cs="方正仿宋简体"/>
          <w:kern w:val="1"/>
          <w:highlight w:val="none"/>
          <w:lang w:val="en-US" w:eastAsia="zh-CN"/>
        </w:rPr>
        <w:t>：</w:t>
      </w:r>
    </w:p>
    <w:p>
      <w:pPr>
        <w:rPr>
          <w:rFonts w:ascii="仿宋_GB2312" w:hAnsi="仿宋_GB2312" w:eastAsia="仿宋_GB2312" w:cs="仿宋_GB2312"/>
          <w:b/>
          <w:kern w:val="1"/>
          <w:sz w:val="24"/>
        </w:rPr>
      </w:pPr>
      <w:r>
        <w:rPr>
          <w:rFonts w:hint="eastAsia" w:ascii="仿宋_GB2312" w:hAnsi="仿宋_GB2312" w:eastAsia="仿宋_GB2312" w:cs="仿宋_GB2312"/>
          <w:b/>
          <w:kern w:val="1"/>
          <w:sz w:val="24"/>
        </w:rPr>
        <w:t xml:space="preserve">                    </w:t>
      </w:r>
    </w:p>
    <w:p>
      <w:pPr>
        <w:rPr>
          <w:rFonts w:ascii="仿宋_GB2312" w:hAnsi="仿宋_GB2312" w:eastAsia="仿宋_GB2312" w:cs="仿宋_GB2312"/>
          <w:b/>
          <w:kern w:val="1"/>
          <w:sz w:val="24"/>
        </w:rPr>
      </w:pPr>
    </w:p>
    <w:p>
      <w:pPr>
        <w:pStyle w:val="4"/>
        <w:rPr>
          <w:rFonts w:ascii="宋体" w:hAnsi="宋体" w:eastAsia="宋体" w:cs="宋体"/>
        </w:rPr>
      </w:pPr>
      <w:r>
        <w:rPr>
          <w:rFonts w:hint="eastAsia" w:ascii="宋体" w:hAnsi="宋体" w:eastAsia="宋体" w:cs="宋体"/>
          <w:lang w:val="en-US" w:eastAsia="zh-CN"/>
        </w:rPr>
        <w:t>报价</w:t>
      </w:r>
      <w:r>
        <w:rPr>
          <w:rFonts w:hint="eastAsia" w:ascii="宋体" w:hAnsi="宋体" w:eastAsia="宋体" w:cs="宋体"/>
        </w:rPr>
        <w:t>函</w:t>
      </w:r>
    </w:p>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color w:val="auto"/>
          <w:kern w:val="1"/>
          <w:sz w:val="32"/>
          <w:szCs w:val="32"/>
          <w:lang w:val="en-US" w:eastAsia="zh-CN"/>
        </w:rPr>
        <w:t>江苏兴普物贸有限公司</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single"/>
          <w:lang w:val="en-US" w:eastAsia="zh-CN"/>
        </w:rPr>
        <w:t xml:space="preserve">   </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numPr>
          <w:ilvl w:val="0"/>
          <w:numId w:val="2"/>
        </w:num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报价格式</w:t>
      </w:r>
    </w:p>
    <w:tbl>
      <w:tblPr>
        <w:tblStyle w:val="13"/>
        <w:tblW w:w="871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746"/>
        <w:gridCol w:w="1524"/>
        <w:gridCol w:w="2544"/>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0" w:hRule="atLeast"/>
        </w:trPr>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序号</w:t>
            </w:r>
          </w:p>
        </w:tc>
        <w:tc>
          <w:tcPr>
            <w:tcW w:w="174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船名</w:t>
            </w: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保额</w:t>
            </w:r>
          </w:p>
        </w:tc>
        <w:tc>
          <w:tcPr>
            <w:tcW w:w="25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总</w:t>
            </w:r>
            <w:r>
              <w:rPr>
                <w:rFonts w:hint="eastAsia" w:ascii="方正仿宋简体" w:hAnsi="方正仿宋简体" w:eastAsia="方正仿宋简体" w:cs="方正仿宋简体"/>
                <w:sz w:val="32"/>
                <w:szCs w:val="32"/>
                <w:lang w:eastAsia="zh-CN"/>
              </w:rPr>
              <w:t>价（</w:t>
            </w:r>
            <w:r>
              <w:rPr>
                <w:rFonts w:hint="eastAsia" w:ascii="方正仿宋简体" w:hAnsi="方正仿宋简体" w:eastAsia="方正仿宋简体" w:cs="方正仿宋简体"/>
                <w:sz w:val="32"/>
                <w:szCs w:val="32"/>
                <w:lang w:val="en-US" w:eastAsia="zh-CN"/>
              </w:rPr>
              <w:t>元）</w:t>
            </w:r>
          </w:p>
        </w:tc>
        <w:tc>
          <w:tcPr>
            <w:tcW w:w="195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p>
        </w:tc>
        <w:tc>
          <w:tcPr>
            <w:tcW w:w="174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Cs/>
                <w:color w:val="000000"/>
                <w:sz w:val="32"/>
                <w:szCs w:val="32"/>
                <w:lang w:val="en-US" w:eastAsia="zh-CN" w:bidi="ar-SA"/>
              </w:rPr>
            </w:pP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Cs/>
                <w:color w:val="000000"/>
                <w:sz w:val="32"/>
                <w:szCs w:val="32"/>
                <w:lang w:val="en-US" w:eastAsia="zh-CN" w:bidi="ar-SA"/>
              </w:rPr>
            </w:pPr>
          </w:p>
        </w:tc>
        <w:tc>
          <w:tcPr>
            <w:tcW w:w="254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2</w:t>
            </w:r>
          </w:p>
        </w:tc>
        <w:tc>
          <w:tcPr>
            <w:tcW w:w="174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Cs/>
                <w:color w:val="000000"/>
                <w:sz w:val="32"/>
                <w:szCs w:val="32"/>
                <w:lang w:val="en-US" w:eastAsia="zh-CN" w:bidi="ar-SA"/>
              </w:rPr>
            </w:pP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Cs/>
                <w:color w:val="000000"/>
                <w:sz w:val="32"/>
                <w:szCs w:val="32"/>
                <w:lang w:val="en-US" w:eastAsia="zh-CN" w:bidi="ar-SA"/>
              </w:rPr>
            </w:pPr>
          </w:p>
        </w:tc>
        <w:tc>
          <w:tcPr>
            <w:tcW w:w="254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71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以上合计总价：</w:t>
            </w:r>
          </w:p>
        </w:tc>
      </w:tr>
    </w:tbl>
    <w:p>
      <w:pPr>
        <w:pStyle w:val="2"/>
        <w:numPr>
          <w:ilvl w:val="0"/>
          <w:numId w:val="0"/>
        </w:numPr>
        <w:rPr>
          <w:rFonts w:hint="default"/>
          <w:lang w:val="en-US" w:eastAsia="zh-CN"/>
        </w:rPr>
      </w:pPr>
    </w:p>
    <w:p>
      <w:pPr>
        <w:spacing w:line="600" w:lineRule="exact"/>
        <w:ind w:firstLine="640" w:firstLineChars="200"/>
        <w:jc w:val="left"/>
        <w:rPr>
          <w:rFonts w:hint="eastAsia" w:ascii="方正仿宋简体" w:hAnsi="方正仿宋简体" w:eastAsia="方正仿宋简体" w:cs="方正仿宋简体"/>
          <w:kern w:val="1"/>
          <w:sz w:val="32"/>
          <w:szCs w:val="32"/>
          <w:highlight w:val="none"/>
          <w:lang w:eastAsia="zh-CN"/>
        </w:rPr>
      </w:pPr>
      <w:r>
        <w:rPr>
          <w:rFonts w:hint="eastAsia" w:ascii="方正仿宋简体" w:hAnsi="方正仿宋简体" w:eastAsia="方正仿宋简体" w:cs="方正仿宋简体"/>
          <w:kern w:val="1"/>
          <w:sz w:val="32"/>
          <w:szCs w:val="32"/>
          <w:highlight w:val="none"/>
          <w:lang w:val="en-US" w:eastAsia="zh-CN"/>
        </w:rPr>
        <w:t>二、</w:t>
      </w:r>
      <w:r>
        <w:rPr>
          <w:rFonts w:hint="eastAsia" w:ascii="方正仿宋简体" w:hAnsi="方正仿宋简体" w:eastAsia="方正仿宋简体" w:cs="方正仿宋简体"/>
          <w:kern w:val="1"/>
          <w:sz w:val="32"/>
          <w:szCs w:val="32"/>
          <w:highlight w:val="none"/>
        </w:rPr>
        <w:t>我方承诺遵守招标文件中的全部规定</w:t>
      </w:r>
      <w:r>
        <w:rPr>
          <w:rFonts w:hint="eastAsia" w:ascii="方正仿宋简体" w:hAnsi="方正仿宋简体" w:eastAsia="方正仿宋简体" w:cs="方正仿宋简体"/>
          <w:kern w:val="1"/>
          <w:sz w:val="32"/>
          <w:szCs w:val="32"/>
          <w:highlight w:val="none"/>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highlight w:val="none"/>
          <w:lang w:eastAsia="zh-CN"/>
        </w:rPr>
      </w:pPr>
      <w:r>
        <w:rPr>
          <w:rFonts w:hint="eastAsia" w:ascii="方正仿宋简体" w:hAnsi="方正仿宋简体" w:eastAsia="方正仿宋简体" w:cs="方正仿宋简体"/>
          <w:bCs/>
          <w:kern w:val="1"/>
          <w:sz w:val="32"/>
          <w:szCs w:val="32"/>
          <w:highlight w:val="none"/>
          <w:lang w:val="en-US" w:eastAsia="zh-CN"/>
        </w:rPr>
        <w:t>三、</w:t>
      </w:r>
      <w:r>
        <w:rPr>
          <w:rFonts w:hint="eastAsia" w:ascii="方正仿宋简体" w:hAnsi="方正仿宋简体" w:eastAsia="方正仿宋简体" w:cs="方正仿宋简体"/>
          <w:bCs/>
          <w:kern w:val="1"/>
          <w:sz w:val="32"/>
          <w:szCs w:val="32"/>
          <w:highlight w:val="none"/>
        </w:rPr>
        <w:t>我方承诺中标后双方签订合同,并承担合同规定的责任义务</w:t>
      </w:r>
      <w:r>
        <w:rPr>
          <w:rFonts w:hint="eastAsia" w:ascii="方正仿宋简体" w:hAnsi="方正仿宋简体" w:eastAsia="方正仿宋简体" w:cs="方正仿宋简体"/>
          <w:bCs/>
          <w:kern w:val="1"/>
          <w:sz w:val="32"/>
          <w:szCs w:val="32"/>
          <w:highlight w:val="none"/>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highlight w:val="none"/>
          <w:lang w:eastAsia="zh-CN"/>
        </w:rPr>
      </w:pPr>
      <w:r>
        <w:rPr>
          <w:rFonts w:hint="eastAsia" w:ascii="方正仿宋简体" w:hAnsi="方正仿宋简体" w:eastAsia="方正仿宋简体" w:cs="方正仿宋简体"/>
          <w:sz w:val="32"/>
          <w:szCs w:val="32"/>
          <w:highlight w:val="none"/>
          <w:shd w:val="clear" w:color="auto" w:fill="FFFFFF"/>
          <w:lang w:val="en-US" w:eastAsia="zh-CN"/>
        </w:rPr>
        <w:t>四、</w:t>
      </w:r>
      <w:r>
        <w:rPr>
          <w:rFonts w:hint="eastAsia" w:ascii="方正仿宋简体" w:hAnsi="方正仿宋简体" w:eastAsia="方正仿宋简体" w:cs="方正仿宋简体"/>
          <w:sz w:val="32"/>
          <w:szCs w:val="32"/>
          <w:highlight w:val="none"/>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highlight w:val="none"/>
          <w:shd w:val="clear" w:color="auto" w:fill="FFFFFF"/>
          <w:lang w:eastAsia="zh-CN"/>
        </w:rPr>
        <w:t>。</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highlight w:val="none"/>
        </w:rPr>
        <w:t>愿意向贵方提供任何与该项投标有关的数据、情况和</w:t>
      </w:r>
      <w:r>
        <w:rPr>
          <w:rFonts w:hint="eastAsia" w:ascii="方正仿宋简体" w:hAnsi="方正仿宋简体" w:eastAsia="方正仿宋简体" w:cs="方正仿宋简体"/>
          <w:bCs/>
          <w:kern w:val="1"/>
          <w:sz w:val="32"/>
          <w:szCs w:val="32"/>
        </w:rPr>
        <w:t>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7"/>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val="en-US" w:eastAsia="zh-CN"/>
        </w:rPr>
        <w:t>六、</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ascii="方正小标宋简体" w:hAnsi="宋体" w:eastAsia="方正小标宋简体" w:cs="宋体"/>
          <w:b/>
          <w:bCs/>
          <w:sz w:val="32"/>
          <w:szCs w:val="32"/>
        </w:rPr>
      </w:pPr>
    </w:p>
    <w:p>
      <w:pPr>
        <w:rPr>
          <w:rFonts w:hint="eastAsia" w:ascii="仿宋_GB2312" w:hAnsi="仿宋_GB2312" w:eastAsia="仿宋_GB2312" w:cs="仿宋_GB2312"/>
          <w:kern w:val="1"/>
          <w:sz w:val="24"/>
          <w:lang w:val="en-US" w:eastAsia="zh-CN"/>
        </w:rPr>
      </w:pPr>
      <w:r>
        <w:rPr>
          <w:rFonts w:hint="eastAsia" w:ascii="方正仿宋简体" w:hAnsi="方正仿宋简体" w:eastAsia="方正仿宋简体" w:cs="方正仿宋简体"/>
          <w:b/>
          <w:kern w:val="1"/>
          <w:sz w:val="32"/>
          <w:szCs w:val="32"/>
          <w:lang w:val="en-US" w:eastAsia="zh-CN"/>
        </w:rPr>
        <w:br w:type="page"/>
      </w:r>
    </w:p>
    <w:p>
      <w:pPr>
        <w:pStyle w:val="12"/>
        <w:adjustRightInd w:val="0"/>
        <w:snapToGrid w:val="0"/>
        <w:spacing w:before="0" w:after="0" w:line="600" w:lineRule="exact"/>
        <w:jc w:val="left"/>
        <w:rPr>
          <w:rFonts w:hint="eastAsia" w:ascii="方正黑体_GBK" w:hAnsi="方正黑体_GBK" w:eastAsia="方正仿宋简体" w:cs="方正黑体_GBK"/>
          <w:b w:val="0"/>
          <w:lang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r>
        <w:rPr>
          <w:rFonts w:hint="eastAsia" w:ascii="方正仿宋简体" w:hAnsi="方正仿宋简体" w:eastAsia="方正仿宋简体" w:cs="方正仿宋简体"/>
          <w:kern w:val="1"/>
          <w:highlight w:val="none"/>
          <w:lang w:val="en-US" w:eastAsia="zh-CN"/>
        </w:rPr>
        <w:t>：</w:t>
      </w:r>
    </w:p>
    <w:p>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7"/>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0" b="1143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bCs/>
          <w:kern w:val="1"/>
          <w:sz w:val="30"/>
          <w:szCs w:val="30"/>
          <w:highlight w:val="none"/>
          <w:lang w:val="en-US" w:eastAsia="zh-CN"/>
        </w:rPr>
        <w:t>审计风控</w:t>
      </w:r>
      <w:r>
        <w:rPr>
          <w:rFonts w:hint="eastAsia" w:ascii="方正仿宋简体" w:hAnsi="方正仿宋简体" w:eastAsia="方正仿宋简体" w:cs="方正仿宋简体"/>
          <w:bCs/>
          <w:kern w:val="1"/>
          <w:sz w:val="30"/>
          <w:szCs w:val="30"/>
          <w:highlight w:val="none"/>
        </w:rPr>
        <w:t>部</w:t>
      </w:r>
      <w:r>
        <w:rPr>
          <w:rFonts w:hint="eastAsia" w:ascii="方正仿宋简体" w:hAnsi="方正仿宋简体" w:eastAsia="方正仿宋简体" w:cs="方正仿宋简体"/>
          <w:sz w:val="32"/>
          <w:szCs w:val="32"/>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7"/>
      </w:pPr>
    </w:p>
    <w:p>
      <w:pPr>
        <w:pStyle w:val="2"/>
        <w:rPr>
          <w:rFonts w:hint="eastAsia" w:ascii="方正仿宋简体" w:hAnsi="方正仿宋简体" w:eastAsia="方正仿宋简体" w:cs="方正仿宋简体"/>
          <w:kern w:val="1"/>
          <w:sz w:val="24"/>
          <w:lang w:val="en-US" w:eastAsia="zh-CN"/>
        </w:rPr>
      </w:pPr>
    </w:p>
    <w:p>
      <w:pPr>
        <w:pStyle w:val="2"/>
        <w:rPr>
          <w:rFonts w:hint="default" w:ascii="仿宋_GB2312" w:hAnsi="仿宋_GB2312" w:eastAsia="仿宋_GB2312" w:cs="仿宋_GB2312"/>
          <w:color w:val="FF0000"/>
          <w:kern w:val="1"/>
          <w:sz w:val="24"/>
          <w:lang w:val="en-US" w:eastAsia="zh-CN"/>
        </w:rPr>
      </w:pPr>
    </w:p>
    <w:sectPr>
      <w:pgSz w:w="11906" w:h="16838"/>
      <w:pgMar w:top="1134" w:right="1800" w:bottom="113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DFB638-6CEA-4E33-9E1D-D95C59C738E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embedRegular r:id="rId2" w:fontKey="{4418BB33-4713-43C6-A58F-E2AA68CF4AC1}"/>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3" w:fontKey="{6FE9B341-170E-4004-8E49-B00237E00139}"/>
  </w:font>
  <w:font w:name="方正楷体_GBK">
    <w:panose1 w:val="03000509000000000000"/>
    <w:charset w:val="86"/>
    <w:family w:val="script"/>
    <w:pitch w:val="default"/>
    <w:sig w:usb0="00000001" w:usb1="080E0000" w:usb2="00000000" w:usb3="00000000" w:csb0="00040000" w:csb1="00000000"/>
    <w:embedRegular r:id="rId4" w:fontKey="{72D31664-D1C6-44CA-9CE4-0A43FDFCAB3C}"/>
  </w:font>
  <w:font w:name="Tahoma">
    <w:panose1 w:val="020B0604030504040204"/>
    <w:charset w:val="00"/>
    <w:family w:val="auto"/>
    <w:pitch w:val="default"/>
    <w:sig w:usb0="E1002EFF" w:usb1="C000605B" w:usb2="00000029" w:usb3="00000000" w:csb0="200101FF" w:csb1="20280000"/>
    <w:embedRegular r:id="rId5" w:fontKey="{67977605-62F8-40A6-ACA2-BD2B7E40F847}"/>
  </w:font>
  <w:font w:name="方正仿宋_GBK">
    <w:panose1 w:val="03000509000000000000"/>
    <w:charset w:val="86"/>
    <w:family w:val="script"/>
    <w:pitch w:val="default"/>
    <w:sig w:usb0="00000001" w:usb1="080E0000" w:usb2="00000000" w:usb3="00000000" w:csb0="00040000" w:csb1="00000000"/>
    <w:embedRegular r:id="rId6" w:fontKey="{61DF3381-C994-482D-A690-F755069E6216}"/>
  </w:font>
  <w:font w:name="仿宋">
    <w:panose1 w:val="02010609060101010101"/>
    <w:charset w:val="86"/>
    <w:family w:val="auto"/>
    <w:pitch w:val="default"/>
    <w:sig w:usb0="800002BF" w:usb1="38CF7CFA" w:usb2="00000016" w:usb3="00000000" w:csb0="00040001" w:csb1="00000000"/>
    <w:embedRegular r:id="rId7" w:fontKey="{F470C89B-9F3C-40D9-8BA4-7EEAE7F2602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3099B7"/>
    <w:multiLevelType w:val="singleLevel"/>
    <w:tmpl w:val="F43099B7"/>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67D22FA"/>
    <w:multiLevelType w:val="singleLevel"/>
    <w:tmpl w:val="767D22FA"/>
    <w:lvl w:ilvl="0" w:tentative="0">
      <w:start w:val="3"/>
      <w:numFmt w:val="chineseCounting"/>
      <w:suff w:val="nothing"/>
      <w:lvlText w:val="（%1）"/>
      <w:lvlJc w:val="left"/>
      <w:rPr>
        <w:rFonts w:hint="eastAsia" w:ascii="方正楷体_GBK" w:hAnsi="方正楷体_GBK" w:eastAsia="方正楷体_GBK" w:cs="方正楷体_GBK"/>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00C45D21"/>
    <w:rsid w:val="001049AF"/>
    <w:rsid w:val="00117CC8"/>
    <w:rsid w:val="00146253"/>
    <w:rsid w:val="00174ADE"/>
    <w:rsid w:val="001D1D17"/>
    <w:rsid w:val="002037E9"/>
    <w:rsid w:val="002A141B"/>
    <w:rsid w:val="002C26C0"/>
    <w:rsid w:val="00386328"/>
    <w:rsid w:val="00391D25"/>
    <w:rsid w:val="003B0C36"/>
    <w:rsid w:val="003E5BB6"/>
    <w:rsid w:val="004356E6"/>
    <w:rsid w:val="00435DD9"/>
    <w:rsid w:val="004A50E7"/>
    <w:rsid w:val="0051418A"/>
    <w:rsid w:val="00554FAA"/>
    <w:rsid w:val="005A476D"/>
    <w:rsid w:val="005A64C5"/>
    <w:rsid w:val="00656123"/>
    <w:rsid w:val="0068075D"/>
    <w:rsid w:val="006C349A"/>
    <w:rsid w:val="006E3D0A"/>
    <w:rsid w:val="007050BB"/>
    <w:rsid w:val="00705E50"/>
    <w:rsid w:val="007C74B2"/>
    <w:rsid w:val="007E1821"/>
    <w:rsid w:val="00853D63"/>
    <w:rsid w:val="00894D40"/>
    <w:rsid w:val="00905644"/>
    <w:rsid w:val="00922B7A"/>
    <w:rsid w:val="00973C90"/>
    <w:rsid w:val="009C4CF3"/>
    <w:rsid w:val="00A01812"/>
    <w:rsid w:val="00A14775"/>
    <w:rsid w:val="00A671B4"/>
    <w:rsid w:val="00A8162D"/>
    <w:rsid w:val="00AA195C"/>
    <w:rsid w:val="00AF1713"/>
    <w:rsid w:val="00B108A6"/>
    <w:rsid w:val="00B41462"/>
    <w:rsid w:val="00B44F77"/>
    <w:rsid w:val="00B60319"/>
    <w:rsid w:val="00C45D21"/>
    <w:rsid w:val="00C46C90"/>
    <w:rsid w:val="00C47D8E"/>
    <w:rsid w:val="00CB3844"/>
    <w:rsid w:val="00CE1613"/>
    <w:rsid w:val="00D55A45"/>
    <w:rsid w:val="00D750FB"/>
    <w:rsid w:val="00DB3B29"/>
    <w:rsid w:val="00DE5F1F"/>
    <w:rsid w:val="00DF255F"/>
    <w:rsid w:val="00DF32BD"/>
    <w:rsid w:val="00E0551F"/>
    <w:rsid w:val="00E33050"/>
    <w:rsid w:val="00E6445E"/>
    <w:rsid w:val="00EA0F80"/>
    <w:rsid w:val="00F21CE7"/>
    <w:rsid w:val="00F44D58"/>
    <w:rsid w:val="00F51B3B"/>
    <w:rsid w:val="00F9044A"/>
    <w:rsid w:val="00FD0536"/>
    <w:rsid w:val="00FE0A52"/>
    <w:rsid w:val="01656895"/>
    <w:rsid w:val="01777BD9"/>
    <w:rsid w:val="019D1E38"/>
    <w:rsid w:val="01E41154"/>
    <w:rsid w:val="032F2286"/>
    <w:rsid w:val="03713CFB"/>
    <w:rsid w:val="03E0627B"/>
    <w:rsid w:val="047939C0"/>
    <w:rsid w:val="04AA1CBA"/>
    <w:rsid w:val="04EB6681"/>
    <w:rsid w:val="05193B70"/>
    <w:rsid w:val="056828BE"/>
    <w:rsid w:val="06136950"/>
    <w:rsid w:val="0653591A"/>
    <w:rsid w:val="06A64D78"/>
    <w:rsid w:val="06B7048E"/>
    <w:rsid w:val="06D03D80"/>
    <w:rsid w:val="06EE4CC3"/>
    <w:rsid w:val="07BE4679"/>
    <w:rsid w:val="07E04497"/>
    <w:rsid w:val="081713C4"/>
    <w:rsid w:val="082C7881"/>
    <w:rsid w:val="08934A03"/>
    <w:rsid w:val="08F8136C"/>
    <w:rsid w:val="09247DCC"/>
    <w:rsid w:val="092D5C55"/>
    <w:rsid w:val="09570572"/>
    <w:rsid w:val="09864BCA"/>
    <w:rsid w:val="09CF47C3"/>
    <w:rsid w:val="0A3159BF"/>
    <w:rsid w:val="0A711C0A"/>
    <w:rsid w:val="0AEC6174"/>
    <w:rsid w:val="0AF61B02"/>
    <w:rsid w:val="0AFD780F"/>
    <w:rsid w:val="0B3376C1"/>
    <w:rsid w:val="0B4867FD"/>
    <w:rsid w:val="0B5A4068"/>
    <w:rsid w:val="0B676377"/>
    <w:rsid w:val="0BDB51A9"/>
    <w:rsid w:val="0BF272D2"/>
    <w:rsid w:val="0C8E7E92"/>
    <w:rsid w:val="0D415BDD"/>
    <w:rsid w:val="0D75133F"/>
    <w:rsid w:val="0D8E5814"/>
    <w:rsid w:val="0D9213D4"/>
    <w:rsid w:val="0DA47D15"/>
    <w:rsid w:val="0DE77B5E"/>
    <w:rsid w:val="0E120EEB"/>
    <w:rsid w:val="0E1704E7"/>
    <w:rsid w:val="0E34558B"/>
    <w:rsid w:val="0E83792A"/>
    <w:rsid w:val="0E8A5090"/>
    <w:rsid w:val="0E974BFD"/>
    <w:rsid w:val="0EBC4F8B"/>
    <w:rsid w:val="0F232368"/>
    <w:rsid w:val="0F501F02"/>
    <w:rsid w:val="0F60049C"/>
    <w:rsid w:val="0FAD1102"/>
    <w:rsid w:val="105C40E4"/>
    <w:rsid w:val="10637DEB"/>
    <w:rsid w:val="10BD59B7"/>
    <w:rsid w:val="10CA33D3"/>
    <w:rsid w:val="10F20D97"/>
    <w:rsid w:val="11020C70"/>
    <w:rsid w:val="11133A6D"/>
    <w:rsid w:val="1171200C"/>
    <w:rsid w:val="1180087C"/>
    <w:rsid w:val="11C44012"/>
    <w:rsid w:val="1233386D"/>
    <w:rsid w:val="123579E9"/>
    <w:rsid w:val="125E4936"/>
    <w:rsid w:val="12A32349"/>
    <w:rsid w:val="1308146B"/>
    <w:rsid w:val="133D56D1"/>
    <w:rsid w:val="140339A4"/>
    <w:rsid w:val="14117786"/>
    <w:rsid w:val="14117F91"/>
    <w:rsid w:val="14171081"/>
    <w:rsid w:val="148534B4"/>
    <w:rsid w:val="14E200DE"/>
    <w:rsid w:val="15182CC0"/>
    <w:rsid w:val="152C01CB"/>
    <w:rsid w:val="15701B77"/>
    <w:rsid w:val="15714980"/>
    <w:rsid w:val="15D67BDB"/>
    <w:rsid w:val="15F13FFC"/>
    <w:rsid w:val="165F0C7D"/>
    <w:rsid w:val="17057AF1"/>
    <w:rsid w:val="178C2434"/>
    <w:rsid w:val="17966404"/>
    <w:rsid w:val="17FC7F32"/>
    <w:rsid w:val="181A30AD"/>
    <w:rsid w:val="18A9769D"/>
    <w:rsid w:val="18DC0363"/>
    <w:rsid w:val="19112A4A"/>
    <w:rsid w:val="19175799"/>
    <w:rsid w:val="1945415A"/>
    <w:rsid w:val="198F3627"/>
    <w:rsid w:val="19BB4BF7"/>
    <w:rsid w:val="19CB12B3"/>
    <w:rsid w:val="19CC487B"/>
    <w:rsid w:val="19F31E08"/>
    <w:rsid w:val="1A051B3B"/>
    <w:rsid w:val="1A0C5F31"/>
    <w:rsid w:val="1B27179A"/>
    <w:rsid w:val="1B3133D3"/>
    <w:rsid w:val="1B8624DD"/>
    <w:rsid w:val="1BA33BEC"/>
    <w:rsid w:val="1BD507E9"/>
    <w:rsid w:val="1BE32C15"/>
    <w:rsid w:val="1BE705C9"/>
    <w:rsid w:val="1C013E26"/>
    <w:rsid w:val="1C147F54"/>
    <w:rsid w:val="1C4C4B9B"/>
    <w:rsid w:val="1D5F0F0F"/>
    <w:rsid w:val="1D696C3F"/>
    <w:rsid w:val="1DB14A0B"/>
    <w:rsid w:val="1DDA3719"/>
    <w:rsid w:val="1DDE692B"/>
    <w:rsid w:val="1E081BFA"/>
    <w:rsid w:val="1E116D00"/>
    <w:rsid w:val="1EA24D25"/>
    <w:rsid w:val="1F0C5C88"/>
    <w:rsid w:val="1F124BE1"/>
    <w:rsid w:val="1F4C5B16"/>
    <w:rsid w:val="1FB301B8"/>
    <w:rsid w:val="202A1546"/>
    <w:rsid w:val="202A40A9"/>
    <w:rsid w:val="204D7932"/>
    <w:rsid w:val="207D7466"/>
    <w:rsid w:val="208222FB"/>
    <w:rsid w:val="210241D0"/>
    <w:rsid w:val="214B2529"/>
    <w:rsid w:val="22282CCC"/>
    <w:rsid w:val="224B0A97"/>
    <w:rsid w:val="22723AE6"/>
    <w:rsid w:val="228A060E"/>
    <w:rsid w:val="232E600D"/>
    <w:rsid w:val="246116F0"/>
    <w:rsid w:val="24623C09"/>
    <w:rsid w:val="246245B1"/>
    <w:rsid w:val="24871943"/>
    <w:rsid w:val="24C33D1A"/>
    <w:rsid w:val="24DB0068"/>
    <w:rsid w:val="24FA6582"/>
    <w:rsid w:val="25F9125E"/>
    <w:rsid w:val="2663385B"/>
    <w:rsid w:val="266C685F"/>
    <w:rsid w:val="26E80FFE"/>
    <w:rsid w:val="279325A6"/>
    <w:rsid w:val="2877430E"/>
    <w:rsid w:val="287B7B98"/>
    <w:rsid w:val="288023F3"/>
    <w:rsid w:val="288325A9"/>
    <w:rsid w:val="28C05695"/>
    <w:rsid w:val="28CE1CA7"/>
    <w:rsid w:val="29584876"/>
    <w:rsid w:val="299B7DC6"/>
    <w:rsid w:val="29B36EBE"/>
    <w:rsid w:val="29C27101"/>
    <w:rsid w:val="2A1468AC"/>
    <w:rsid w:val="2A4857F0"/>
    <w:rsid w:val="2A645CAD"/>
    <w:rsid w:val="2A6C19EC"/>
    <w:rsid w:val="2A9E1972"/>
    <w:rsid w:val="2A9F638E"/>
    <w:rsid w:val="2B6627DC"/>
    <w:rsid w:val="2B68125E"/>
    <w:rsid w:val="2B746B21"/>
    <w:rsid w:val="2BD21A02"/>
    <w:rsid w:val="2C1507F3"/>
    <w:rsid w:val="2C4D3321"/>
    <w:rsid w:val="2DA51213"/>
    <w:rsid w:val="2DB43204"/>
    <w:rsid w:val="2E8364D0"/>
    <w:rsid w:val="2ED7364E"/>
    <w:rsid w:val="2F1F1579"/>
    <w:rsid w:val="2F8A7C47"/>
    <w:rsid w:val="2F9803AC"/>
    <w:rsid w:val="300131A6"/>
    <w:rsid w:val="30C45A71"/>
    <w:rsid w:val="30E402A4"/>
    <w:rsid w:val="30FE1366"/>
    <w:rsid w:val="31552326"/>
    <w:rsid w:val="31E640FD"/>
    <w:rsid w:val="31EB39D4"/>
    <w:rsid w:val="31EF6F01"/>
    <w:rsid w:val="327112D7"/>
    <w:rsid w:val="32CB5278"/>
    <w:rsid w:val="32DA05FD"/>
    <w:rsid w:val="32DF6682"/>
    <w:rsid w:val="32E77EFC"/>
    <w:rsid w:val="32FD73FC"/>
    <w:rsid w:val="33646075"/>
    <w:rsid w:val="33EF1298"/>
    <w:rsid w:val="33F702EF"/>
    <w:rsid w:val="358F1EEB"/>
    <w:rsid w:val="35A818A1"/>
    <w:rsid w:val="35E13004"/>
    <w:rsid w:val="360D5BA8"/>
    <w:rsid w:val="36322CCC"/>
    <w:rsid w:val="367C137F"/>
    <w:rsid w:val="36A50A28"/>
    <w:rsid w:val="36A858D0"/>
    <w:rsid w:val="36D44917"/>
    <w:rsid w:val="371D75ED"/>
    <w:rsid w:val="37792256"/>
    <w:rsid w:val="37945F72"/>
    <w:rsid w:val="37A442EA"/>
    <w:rsid w:val="38303DCF"/>
    <w:rsid w:val="38606463"/>
    <w:rsid w:val="38B0063F"/>
    <w:rsid w:val="38E946AA"/>
    <w:rsid w:val="39131727"/>
    <w:rsid w:val="39F50E2C"/>
    <w:rsid w:val="3A0D6176"/>
    <w:rsid w:val="3A20637A"/>
    <w:rsid w:val="3A3E0A25"/>
    <w:rsid w:val="3AB57C56"/>
    <w:rsid w:val="3B0A78BE"/>
    <w:rsid w:val="3B0E03F8"/>
    <w:rsid w:val="3B1F064C"/>
    <w:rsid w:val="3B411480"/>
    <w:rsid w:val="3B4B77C9"/>
    <w:rsid w:val="3BDA3C5B"/>
    <w:rsid w:val="3C075498"/>
    <w:rsid w:val="3C432919"/>
    <w:rsid w:val="3C9E1E47"/>
    <w:rsid w:val="3CA42DBF"/>
    <w:rsid w:val="3CEB63D0"/>
    <w:rsid w:val="3D49251B"/>
    <w:rsid w:val="3DE32C6A"/>
    <w:rsid w:val="3E407007"/>
    <w:rsid w:val="3EA77CD0"/>
    <w:rsid w:val="3EAA6689"/>
    <w:rsid w:val="3F8C2233"/>
    <w:rsid w:val="3FEC4A80"/>
    <w:rsid w:val="40730CFD"/>
    <w:rsid w:val="40DF6392"/>
    <w:rsid w:val="417C1E33"/>
    <w:rsid w:val="41A82C28"/>
    <w:rsid w:val="41C51A2C"/>
    <w:rsid w:val="41E87C27"/>
    <w:rsid w:val="41EE7702"/>
    <w:rsid w:val="421206CD"/>
    <w:rsid w:val="42307D25"/>
    <w:rsid w:val="42784CF1"/>
    <w:rsid w:val="42F44377"/>
    <w:rsid w:val="44374C79"/>
    <w:rsid w:val="449F0DA3"/>
    <w:rsid w:val="44C45BCB"/>
    <w:rsid w:val="45045C89"/>
    <w:rsid w:val="453066F8"/>
    <w:rsid w:val="45D73C90"/>
    <w:rsid w:val="466F4CE0"/>
    <w:rsid w:val="46870B49"/>
    <w:rsid w:val="46DB11E7"/>
    <w:rsid w:val="46E77855"/>
    <w:rsid w:val="46E909B9"/>
    <w:rsid w:val="472A044C"/>
    <w:rsid w:val="47AA78B7"/>
    <w:rsid w:val="480A0431"/>
    <w:rsid w:val="4820176A"/>
    <w:rsid w:val="48B331F5"/>
    <w:rsid w:val="48E07C53"/>
    <w:rsid w:val="4973088D"/>
    <w:rsid w:val="497F0713"/>
    <w:rsid w:val="49AD4E50"/>
    <w:rsid w:val="49FF1868"/>
    <w:rsid w:val="4A0D1A95"/>
    <w:rsid w:val="4A413C1A"/>
    <w:rsid w:val="4A58649B"/>
    <w:rsid w:val="4AC23E67"/>
    <w:rsid w:val="4B06733D"/>
    <w:rsid w:val="4B2868E7"/>
    <w:rsid w:val="4B577B99"/>
    <w:rsid w:val="4BC15012"/>
    <w:rsid w:val="4C1C049B"/>
    <w:rsid w:val="4C4802F9"/>
    <w:rsid w:val="4C611AC3"/>
    <w:rsid w:val="4CB93146"/>
    <w:rsid w:val="4D0D294C"/>
    <w:rsid w:val="4D3D4B6D"/>
    <w:rsid w:val="4D73517C"/>
    <w:rsid w:val="4E0336C0"/>
    <w:rsid w:val="4E8314AE"/>
    <w:rsid w:val="4EEA0D24"/>
    <w:rsid w:val="4F202E8B"/>
    <w:rsid w:val="4F3F1B86"/>
    <w:rsid w:val="4F483359"/>
    <w:rsid w:val="50092C3B"/>
    <w:rsid w:val="50397C5E"/>
    <w:rsid w:val="503A35E5"/>
    <w:rsid w:val="50B03CD7"/>
    <w:rsid w:val="5111214A"/>
    <w:rsid w:val="51C25640"/>
    <w:rsid w:val="521828C1"/>
    <w:rsid w:val="524B41F4"/>
    <w:rsid w:val="5264234F"/>
    <w:rsid w:val="53547192"/>
    <w:rsid w:val="53CE4B7C"/>
    <w:rsid w:val="53F35F85"/>
    <w:rsid w:val="540B7291"/>
    <w:rsid w:val="541C1980"/>
    <w:rsid w:val="54464267"/>
    <w:rsid w:val="54554E92"/>
    <w:rsid w:val="54937A91"/>
    <w:rsid w:val="54AE4F22"/>
    <w:rsid w:val="54CA4149"/>
    <w:rsid w:val="552A0DA7"/>
    <w:rsid w:val="556B13E7"/>
    <w:rsid w:val="559002A6"/>
    <w:rsid w:val="55EB7976"/>
    <w:rsid w:val="56180104"/>
    <w:rsid w:val="563A7096"/>
    <w:rsid w:val="56424B82"/>
    <w:rsid w:val="56A77FE6"/>
    <w:rsid w:val="56D7230C"/>
    <w:rsid w:val="56DD5E7E"/>
    <w:rsid w:val="56E524FD"/>
    <w:rsid w:val="57514C26"/>
    <w:rsid w:val="57633422"/>
    <w:rsid w:val="578E474D"/>
    <w:rsid w:val="58650D9E"/>
    <w:rsid w:val="58A00CF4"/>
    <w:rsid w:val="59460183"/>
    <w:rsid w:val="59505C28"/>
    <w:rsid w:val="59ED52F5"/>
    <w:rsid w:val="5AB17726"/>
    <w:rsid w:val="5AF538F6"/>
    <w:rsid w:val="5B2D7CE8"/>
    <w:rsid w:val="5B791466"/>
    <w:rsid w:val="5B8A4E2B"/>
    <w:rsid w:val="5B9B58B4"/>
    <w:rsid w:val="5BE03293"/>
    <w:rsid w:val="5BE83AEC"/>
    <w:rsid w:val="5C221AFD"/>
    <w:rsid w:val="5C693288"/>
    <w:rsid w:val="5C7E6153"/>
    <w:rsid w:val="5C9A78E6"/>
    <w:rsid w:val="5CB308A9"/>
    <w:rsid w:val="5CBE511A"/>
    <w:rsid w:val="5CDD04F0"/>
    <w:rsid w:val="5D0C00B7"/>
    <w:rsid w:val="5D186A5C"/>
    <w:rsid w:val="5DAA7FFC"/>
    <w:rsid w:val="5E356992"/>
    <w:rsid w:val="5E443FAD"/>
    <w:rsid w:val="5E957E7A"/>
    <w:rsid w:val="5EB629D1"/>
    <w:rsid w:val="5ECF75EF"/>
    <w:rsid w:val="5F143116"/>
    <w:rsid w:val="5F322719"/>
    <w:rsid w:val="5F461E36"/>
    <w:rsid w:val="5F702B80"/>
    <w:rsid w:val="5F872FD9"/>
    <w:rsid w:val="5F9E6674"/>
    <w:rsid w:val="5FBA292E"/>
    <w:rsid w:val="5FEA46E0"/>
    <w:rsid w:val="60624BBE"/>
    <w:rsid w:val="60844B35"/>
    <w:rsid w:val="6094045F"/>
    <w:rsid w:val="60AB0B37"/>
    <w:rsid w:val="60F32689"/>
    <w:rsid w:val="60F572E8"/>
    <w:rsid w:val="612A5A76"/>
    <w:rsid w:val="619F21C8"/>
    <w:rsid w:val="61C64CD9"/>
    <w:rsid w:val="61EA6C19"/>
    <w:rsid w:val="61F07DAC"/>
    <w:rsid w:val="621041A6"/>
    <w:rsid w:val="621E5A8D"/>
    <w:rsid w:val="624F6626"/>
    <w:rsid w:val="62B02824"/>
    <w:rsid w:val="63441800"/>
    <w:rsid w:val="63A829F0"/>
    <w:rsid w:val="63D83A12"/>
    <w:rsid w:val="63F07E85"/>
    <w:rsid w:val="6429154F"/>
    <w:rsid w:val="669730E8"/>
    <w:rsid w:val="66CC170A"/>
    <w:rsid w:val="66E55C01"/>
    <w:rsid w:val="6712451C"/>
    <w:rsid w:val="6757532A"/>
    <w:rsid w:val="67C1666E"/>
    <w:rsid w:val="67EF2B7F"/>
    <w:rsid w:val="68112A26"/>
    <w:rsid w:val="68663A29"/>
    <w:rsid w:val="68CC5E3B"/>
    <w:rsid w:val="6915776F"/>
    <w:rsid w:val="69450BD9"/>
    <w:rsid w:val="69635503"/>
    <w:rsid w:val="697C3EC8"/>
    <w:rsid w:val="69971A21"/>
    <w:rsid w:val="6A48205B"/>
    <w:rsid w:val="6A490EEE"/>
    <w:rsid w:val="6BF95CB0"/>
    <w:rsid w:val="6BFD3860"/>
    <w:rsid w:val="6C4D5981"/>
    <w:rsid w:val="6C961E4E"/>
    <w:rsid w:val="6CE60925"/>
    <w:rsid w:val="6D5C4743"/>
    <w:rsid w:val="6D6B05C8"/>
    <w:rsid w:val="6D71150E"/>
    <w:rsid w:val="6D884EE9"/>
    <w:rsid w:val="6DED6DD5"/>
    <w:rsid w:val="6E166FE8"/>
    <w:rsid w:val="6E1F57B8"/>
    <w:rsid w:val="6E4D30AD"/>
    <w:rsid w:val="6E661451"/>
    <w:rsid w:val="6E7B7615"/>
    <w:rsid w:val="6EA20099"/>
    <w:rsid w:val="6EFA0593"/>
    <w:rsid w:val="6F1F6075"/>
    <w:rsid w:val="6F2D2250"/>
    <w:rsid w:val="6FBF081F"/>
    <w:rsid w:val="704E2BDF"/>
    <w:rsid w:val="70A079B6"/>
    <w:rsid w:val="713752AB"/>
    <w:rsid w:val="719B1CDE"/>
    <w:rsid w:val="71DF27D4"/>
    <w:rsid w:val="71E7188F"/>
    <w:rsid w:val="72271CD2"/>
    <w:rsid w:val="725F1775"/>
    <w:rsid w:val="72CB03A1"/>
    <w:rsid w:val="72D57472"/>
    <w:rsid w:val="734B19D0"/>
    <w:rsid w:val="73B57AA8"/>
    <w:rsid w:val="73ED4AD0"/>
    <w:rsid w:val="745E239E"/>
    <w:rsid w:val="746F1200"/>
    <w:rsid w:val="74802E55"/>
    <w:rsid w:val="74AF784E"/>
    <w:rsid w:val="74BA06CD"/>
    <w:rsid w:val="74D60490"/>
    <w:rsid w:val="74EE2931"/>
    <w:rsid w:val="75183AAA"/>
    <w:rsid w:val="7539087A"/>
    <w:rsid w:val="75DA6B4D"/>
    <w:rsid w:val="760E58D6"/>
    <w:rsid w:val="76621657"/>
    <w:rsid w:val="76742AFE"/>
    <w:rsid w:val="768076F4"/>
    <w:rsid w:val="78281DF2"/>
    <w:rsid w:val="78403936"/>
    <w:rsid w:val="789E71A6"/>
    <w:rsid w:val="794176B1"/>
    <w:rsid w:val="79786DA9"/>
    <w:rsid w:val="79CE0777"/>
    <w:rsid w:val="79F0714E"/>
    <w:rsid w:val="7A9B2D4F"/>
    <w:rsid w:val="7AAD2A82"/>
    <w:rsid w:val="7B2210AC"/>
    <w:rsid w:val="7B2F5855"/>
    <w:rsid w:val="7B4707E1"/>
    <w:rsid w:val="7BC5342E"/>
    <w:rsid w:val="7C3B3EC8"/>
    <w:rsid w:val="7C4A4A2C"/>
    <w:rsid w:val="7D586923"/>
    <w:rsid w:val="7D7C4CE2"/>
    <w:rsid w:val="7DAC7021"/>
    <w:rsid w:val="7DC1685E"/>
    <w:rsid w:val="7DEE57B6"/>
    <w:rsid w:val="7E2C6434"/>
    <w:rsid w:val="7E6E23AB"/>
    <w:rsid w:val="7E811003"/>
    <w:rsid w:val="7EEA1BAF"/>
    <w:rsid w:val="7EF13F17"/>
    <w:rsid w:val="7F0276E5"/>
    <w:rsid w:val="7F532CB7"/>
    <w:rsid w:val="7FB90718"/>
    <w:rsid w:val="7FC15811"/>
    <w:rsid w:val="7FE458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4">
    <w:name w:val="heading 1"/>
    <w:basedOn w:val="1"/>
    <w:next w:val="1"/>
    <w:autoRedefine/>
    <w:qFormat/>
    <w:uiPriority w:val="9"/>
    <w:pPr>
      <w:keepNext/>
      <w:keepLines/>
      <w:jc w:val="center"/>
      <w:outlineLvl w:val="0"/>
    </w:pPr>
    <w:rPr>
      <w:rFonts w:eastAsia="黑体"/>
      <w:b/>
      <w:bCs/>
      <w:kern w:val="44"/>
      <w:sz w:val="44"/>
      <w:szCs w:val="44"/>
    </w:rPr>
  </w:style>
  <w:style w:type="paragraph" w:styleId="5">
    <w:name w:val="heading 3"/>
    <w:basedOn w:val="1"/>
    <w:next w:val="1"/>
    <w:link w:val="21"/>
    <w:autoRedefine/>
    <w:qFormat/>
    <w:uiPriority w:val="0"/>
    <w:pPr>
      <w:keepNext/>
      <w:keepLines/>
      <w:spacing w:before="260" w:after="260" w:line="413" w:lineRule="auto"/>
      <w:outlineLvl w:val="2"/>
    </w:pPr>
    <w:rPr>
      <w:rFonts w:eastAsia="‹ÎSå"/>
      <w:b/>
      <w:sz w:val="32"/>
      <w:szCs w:val="32"/>
      <w:lang w:val="zh-CN"/>
    </w:rPr>
  </w:style>
  <w:style w:type="character" w:default="1" w:styleId="14">
    <w:name w:val="Default Paragraph Font"/>
    <w:autoRedefine/>
    <w:unhideWhenUsed/>
    <w:qFormat/>
    <w:uiPriority w:val="1"/>
  </w:style>
  <w:style w:type="table" w:default="1" w:styleId="13">
    <w:name w:val="Normal Table"/>
    <w:autoRedefine/>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99"/>
    <w:pPr>
      <w:adjustRightInd w:val="0"/>
      <w:spacing w:after="0" w:line="312" w:lineRule="atLeast"/>
      <w:ind w:left="1296" w:leftChars="0"/>
      <w:textAlignment w:val="baseline"/>
    </w:pPr>
    <w:rPr>
      <w:rFonts w:eastAsia="仿宋_GB2312"/>
      <w:kern w:val="21"/>
      <w:sz w:val="32"/>
    </w:rPr>
  </w:style>
  <w:style w:type="paragraph" w:styleId="3">
    <w:name w:val="Body Text Indent"/>
    <w:basedOn w:val="1"/>
    <w:autoRedefine/>
    <w:unhideWhenUsed/>
    <w:qFormat/>
    <w:uiPriority w:val="0"/>
    <w:pPr>
      <w:spacing w:after="120"/>
      <w:ind w:left="420" w:leftChars="200"/>
    </w:pPr>
  </w:style>
  <w:style w:type="paragraph" w:styleId="6">
    <w:name w:val="annotation text"/>
    <w:basedOn w:val="1"/>
    <w:autoRedefine/>
    <w:unhideWhenUsed/>
    <w:qFormat/>
    <w:uiPriority w:val="99"/>
    <w:pPr>
      <w:jc w:val="left"/>
    </w:pPr>
  </w:style>
  <w:style w:type="paragraph" w:styleId="7">
    <w:name w:val="Body Text"/>
    <w:basedOn w:val="1"/>
    <w:next w:val="8"/>
    <w:autoRedefine/>
    <w:unhideWhenUsed/>
    <w:qFormat/>
    <w:uiPriority w:val="99"/>
    <w:pPr>
      <w:spacing w:after="120"/>
    </w:pPr>
  </w:style>
  <w:style w:type="paragraph" w:styleId="8">
    <w:name w:val="Plain Text"/>
    <w:basedOn w:val="1"/>
    <w:autoRedefine/>
    <w:unhideWhenUsed/>
    <w:qFormat/>
    <w:uiPriority w:val="99"/>
    <w:rPr>
      <w:rFonts w:ascii="宋体" w:hAnsi="Courier New"/>
      <w:kern w:val="0"/>
      <w:sz w:val="20"/>
    </w:rPr>
  </w:style>
  <w:style w:type="paragraph" w:styleId="9">
    <w:name w:val="Balloon Text"/>
    <w:basedOn w:val="1"/>
    <w:link w:val="22"/>
    <w:autoRedefine/>
    <w:unhideWhenUsed/>
    <w:qFormat/>
    <w:uiPriority w:val="99"/>
    <w:rPr>
      <w:sz w:val="18"/>
      <w:szCs w:val="18"/>
    </w:rPr>
  </w:style>
  <w:style w:type="paragraph" w:styleId="10">
    <w:name w:val="footer"/>
    <w:basedOn w:val="1"/>
    <w:link w:val="20"/>
    <w:autoRedefine/>
    <w:unhideWhenUsed/>
    <w:qFormat/>
    <w:uiPriority w:val="99"/>
    <w:pPr>
      <w:tabs>
        <w:tab w:val="center" w:pos="4153"/>
        <w:tab w:val="right" w:pos="8306"/>
      </w:tabs>
      <w:snapToGrid w:val="0"/>
      <w:jc w:val="left"/>
    </w:pPr>
    <w:rPr>
      <w:sz w:val="18"/>
      <w:szCs w:val="18"/>
    </w:rPr>
  </w:style>
  <w:style w:type="paragraph" w:styleId="11">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character" w:styleId="15">
    <w:name w:val="Hyperlink"/>
    <w:basedOn w:val="14"/>
    <w:autoRedefine/>
    <w:unhideWhenUsed/>
    <w:qFormat/>
    <w:uiPriority w:val="99"/>
    <w:rPr>
      <w:color w:val="0000FF"/>
      <w:u w:val="single"/>
    </w:rPr>
  </w:style>
  <w:style w:type="paragraph" w:customStyle="1" w:styleId="16">
    <w:name w:val="reader-word-layer"/>
    <w:basedOn w:val="1"/>
    <w:autoRedefine/>
    <w:qFormat/>
    <w:uiPriority w:val="0"/>
    <w:pPr>
      <w:widowControl/>
      <w:spacing w:before="100" w:beforeAutospacing="1" w:after="100" w:afterAutospacing="1"/>
      <w:jc w:val="left"/>
    </w:pPr>
    <w:rPr>
      <w:rFonts w:ascii="宋体" w:hAnsi="宋体" w:cs="宋体"/>
      <w:color w:val="auto"/>
      <w:sz w:val="24"/>
    </w:rPr>
  </w:style>
  <w:style w:type="paragraph" w:customStyle="1" w:styleId="17">
    <w:name w:val="列出段落1"/>
    <w:basedOn w:val="1"/>
    <w:autoRedefine/>
    <w:qFormat/>
    <w:uiPriority w:val="34"/>
    <w:pPr>
      <w:ind w:firstLine="420" w:firstLineChars="200"/>
    </w:pPr>
  </w:style>
  <w:style w:type="paragraph" w:customStyle="1" w:styleId="18">
    <w:name w:val="列出段落11"/>
    <w:basedOn w:val="1"/>
    <w:autoRedefine/>
    <w:qFormat/>
    <w:uiPriority w:val="99"/>
    <w:pPr>
      <w:ind w:firstLine="420" w:firstLineChars="200"/>
    </w:pPr>
  </w:style>
  <w:style w:type="character" w:customStyle="1" w:styleId="19">
    <w:name w:val="页眉 Char"/>
    <w:basedOn w:val="14"/>
    <w:link w:val="11"/>
    <w:autoRedefine/>
    <w:semiHidden/>
    <w:qFormat/>
    <w:uiPriority w:val="99"/>
    <w:rPr>
      <w:sz w:val="18"/>
      <w:szCs w:val="18"/>
    </w:rPr>
  </w:style>
  <w:style w:type="character" w:customStyle="1" w:styleId="20">
    <w:name w:val="页脚 Char"/>
    <w:basedOn w:val="14"/>
    <w:link w:val="10"/>
    <w:autoRedefine/>
    <w:semiHidden/>
    <w:qFormat/>
    <w:uiPriority w:val="99"/>
    <w:rPr>
      <w:sz w:val="18"/>
      <w:szCs w:val="18"/>
    </w:rPr>
  </w:style>
  <w:style w:type="character" w:customStyle="1" w:styleId="21">
    <w:name w:val="标题 3 Char"/>
    <w:basedOn w:val="14"/>
    <w:link w:val="5"/>
    <w:autoRedefine/>
    <w:qFormat/>
    <w:uiPriority w:val="0"/>
    <w:rPr>
      <w:rFonts w:ascii="Times New Roman" w:hAnsi="Times New Roman" w:eastAsia="‹ÎSå" w:cs="Times New Roman"/>
      <w:b/>
      <w:color w:val="000000"/>
      <w:kern w:val="0"/>
      <w:sz w:val="32"/>
      <w:szCs w:val="32"/>
      <w:lang w:val="zh-CN"/>
    </w:rPr>
  </w:style>
  <w:style w:type="character" w:customStyle="1" w:styleId="22">
    <w:name w:val="批注框文本 Char"/>
    <w:basedOn w:val="14"/>
    <w:link w:val="9"/>
    <w:autoRedefine/>
    <w:semiHidden/>
    <w:qFormat/>
    <w:uiPriority w:val="99"/>
    <w:rPr>
      <w:rFonts w:ascii="Times New Roman" w:hAnsi="Times New Roman" w:eastAsia="宋体" w:cs="Times New Roman"/>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4752</Words>
  <Characters>4928</Characters>
  <Lines>19</Lines>
  <Paragraphs>5</Paragraphs>
  <TotalTime>0</TotalTime>
  <ScaleCrop>false</ScaleCrop>
  <LinksUpToDate>false</LinksUpToDate>
  <CharactersWithSpaces>5045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2017-05-19T03:41:00Z</dcterms:created>
  <dc:creator>胡彪</dc:creator>
  <cp:lastModifiedBy>admin</cp:lastModifiedBy>
  <cp:lastPrinted>2018-12-24T02:49:00Z</cp:lastPrinted>
  <dcterms:modified xsi:type="dcterms:W3CDTF">2024-04-26T07:18:23Z</dcterms:modified>
  <dc:title>镇江海纳川物流产业发展有限责任公司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ADBF318059E04843BEEDA6F4DA58A893_13</vt:lpwstr>
  </property>
</Properties>
</file>