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方正小标宋简体" w:eastAsia="方正小标宋简体" w:cs="宋体"/>
        </w:rPr>
      </w:pPr>
      <w:r>
        <w:rPr>
          <w:rFonts w:hint="eastAsia" w:ascii="方正小标宋简体" w:hAnsi="宋体" w:eastAsia="方正小标宋简体" w:cs="宋体"/>
        </w:rPr>
        <w:t>镇江海纳川物流产业发展有限责任公司</w:t>
      </w:r>
    </w:p>
    <w:p>
      <w:pPr>
        <w:pStyle w:val="2"/>
        <w:rPr>
          <w:rFonts w:ascii="方正小标宋简体" w:eastAsia="方正小标宋简体" w:cs="宋体"/>
        </w:rPr>
      </w:pPr>
      <w:r>
        <w:rPr>
          <w:rFonts w:hint="eastAsia" w:ascii="方正小标宋简体" w:hAnsi="宋体" w:eastAsia="方正小标宋简体" w:cs="宋体"/>
        </w:rPr>
        <w:t>招标文件</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w:t>
      </w:r>
      <w:r>
        <w:rPr>
          <w:rFonts w:hint="eastAsia" w:ascii="方正仿宋简体" w:hAnsi="方正仿宋简体" w:eastAsia="方正仿宋简体" w:cs="方正仿宋简体"/>
          <w:bCs/>
          <w:color w:val="FF0000"/>
          <w:sz w:val="32"/>
          <w:szCs w:val="32"/>
          <w:lang w:val="zh-CN"/>
        </w:rPr>
        <w:t>自主公开招标</w:t>
      </w:r>
      <w:r>
        <w:rPr>
          <w:rFonts w:hint="eastAsia" w:ascii="方正仿宋简体" w:hAnsi="方正仿宋简体" w:eastAsia="方正仿宋简体" w:cs="方正仿宋简体"/>
          <w:bCs/>
          <w:sz w:val="32"/>
          <w:szCs w:val="32"/>
          <w:lang w:val="zh-CN"/>
        </w:rPr>
        <w:t>的方式选定供应商，</w:t>
      </w:r>
      <w:r>
        <w:rPr>
          <w:rFonts w:hint="eastAsia" w:ascii="方正仿宋简体" w:hAnsi="方正仿宋简体" w:eastAsia="方正仿宋简体" w:cs="方正仿宋简体"/>
          <w:color w:val="FF0000"/>
          <w:sz w:val="32"/>
          <w:szCs w:val="32"/>
        </w:rPr>
        <w:t>欢迎具有相关资质的厂商前来投标。</w:t>
      </w:r>
    </w:p>
    <w:p>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rPr>
        <w:t xml:space="preserve"> </w:t>
      </w:r>
      <w:r>
        <w:rPr>
          <w:rFonts w:hint="eastAsia" w:ascii="方正仿宋简体" w:hAnsi="方正仿宋简体" w:eastAsia="方正仿宋简体" w:cs="方正仿宋简体"/>
          <w:bCs/>
          <w:kern w:val="1"/>
          <w:sz w:val="32"/>
          <w:szCs w:val="32"/>
          <w:u w:val="single"/>
        </w:rPr>
        <w:t>20240513港口磁力驱动机泵采购</w:t>
      </w:r>
      <w:r>
        <w:rPr>
          <w:rFonts w:hint="eastAsia" w:ascii="方正仿宋简体" w:hAnsi="方正仿宋简体" w:eastAsia="方正仿宋简体" w:cs="方正仿宋简体"/>
          <w:bCs/>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交货时间：</w:t>
      </w:r>
      <w:r>
        <w:rPr>
          <w:rFonts w:hint="eastAsia" w:ascii="方正仿宋简体" w:hAnsi="方正仿宋简体" w:eastAsia="方正仿宋简体" w:cs="方正仿宋简体"/>
          <w:kern w:val="1"/>
          <w:sz w:val="32"/>
          <w:szCs w:val="32"/>
          <w:u w:val="single"/>
        </w:rPr>
        <w:t>合同签订生效后45天内供货</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sz w:val="30"/>
          <w:szCs w:val="30"/>
        </w:rPr>
        <w:t>允许投标人按实际交货时间填写,评标时交货期作为重要参考依据</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2"/>
          <w:szCs w:val="32"/>
          <w:u w:val="single"/>
        </w:rPr>
        <w:t xml:space="preserve"> 海纳川仓库 </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2"/>
          <w:szCs w:val="32"/>
          <w:u w:val="single"/>
          <w:lang w:val="en-US" w:eastAsia="zh-CN"/>
        </w:rPr>
        <w:t>2024年5月21日下午14:40</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初定开标时间：</w:t>
      </w:r>
      <w:r>
        <w:rPr>
          <w:rFonts w:hint="eastAsia" w:ascii="方正仿宋简体" w:hAnsi="方正仿宋简体" w:eastAsia="方正仿宋简体" w:cs="方正仿宋简体"/>
          <w:sz w:val="32"/>
          <w:szCs w:val="32"/>
          <w:u w:val="single"/>
          <w:lang w:val="en-US" w:eastAsia="zh-CN"/>
        </w:rPr>
        <w:t>2024年5月21日下午14:40</w:t>
      </w:r>
      <w:bookmarkStart w:id="0" w:name="_GoBack"/>
      <w:bookmarkEnd w:id="0"/>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中标公示：中标信息将于开标后在江苏索普集团官网公示，请各投标人登录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pPr>
        <w:wordWrap w:val="0"/>
        <w:ind w:firstLine="640" w:firstLineChars="200"/>
        <w:jc w:val="left"/>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货物清单(详见：</w:t>
      </w:r>
      <w:r>
        <w:rPr>
          <w:rFonts w:hint="eastAsia" w:ascii="方正仿宋简体" w:hAnsi="方正仿宋简体" w:eastAsia="方正仿宋简体" w:cs="方正仿宋简体"/>
          <w:b/>
          <w:bCs/>
          <w:sz w:val="32"/>
          <w:szCs w:val="32"/>
        </w:rPr>
        <w:t>报价函</w:t>
      </w:r>
      <w:r>
        <w:rPr>
          <w:rFonts w:hint="eastAsia" w:ascii="方正仿宋简体" w:hAnsi="方正仿宋简体" w:eastAsia="方正仿宋简体" w:cs="方正仿宋简体"/>
          <w:bCs/>
          <w:sz w:val="32"/>
          <w:szCs w:val="32"/>
        </w:rPr>
        <w:t>)　</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kern w:val="1"/>
          <w:sz w:val="32"/>
          <w:szCs w:val="32"/>
        </w:rPr>
        <w:t>技术要求</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1.投标方必须严格按照我公司招标文件中要求报价供货，所供产品必须符合相应国家或行业有关技术标准和安全规范要求，不符合标书要求的按</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kern w:val="1"/>
          <w:sz w:val="32"/>
          <w:szCs w:val="32"/>
        </w:rPr>
        <w:t>处理。</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2.中标方提供的产品须满足我公司使用要求，否则按</w:t>
      </w:r>
      <w:r>
        <w:rPr>
          <w:rFonts w:hint="eastAsia" w:ascii="方正仿宋简体" w:hAnsi="方正仿宋简体" w:eastAsia="方正仿宋简体" w:cs="方正仿宋简体"/>
          <w:b/>
          <w:color w:val="FF0000"/>
          <w:kern w:val="1"/>
          <w:sz w:val="32"/>
          <w:szCs w:val="32"/>
        </w:rPr>
        <w:t>退货</w:t>
      </w:r>
      <w:r>
        <w:rPr>
          <w:rFonts w:hint="eastAsia" w:ascii="方正仿宋简体" w:hAnsi="方正仿宋简体" w:eastAsia="方正仿宋简体" w:cs="方正仿宋简体"/>
          <w:kern w:val="1"/>
          <w:sz w:val="32"/>
          <w:szCs w:val="32"/>
        </w:rPr>
        <w:t>处理。</w:t>
      </w:r>
    </w:p>
    <w:p>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三、投标人资质与要求</w:t>
      </w:r>
      <w:r>
        <w:rPr>
          <w:rFonts w:hint="eastAsia" w:ascii="方正仿宋简体" w:hAnsi="方正仿宋简体" w:eastAsia="方正仿宋简体" w:cs="方正仿宋简体"/>
          <w:b/>
          <w:color w:val="FF0000"/>
          <w:kern w:val="1"/>
          <w:sz w:val="32"/>
          <w:szCs w:val="32"/>
        </w:rPr>
        <w:t>（未按要求作废标处理）</w:t>
      </w:r>
    </w:p>
    <w:p>
      <w:pPr>
        <w:spacing w:line="600" w:lineRule="exact"/>
        <w:ind w:firstLine="640" w:firstLineChars="200"/>
        <w:jc w:val="left"/>
        <w:rPr>
          <w:rFonts w:ascii="方正仿宋简体" w:hAnsi="方正仿宋简体" w:eastAsia="方正仿宋简体" w:cs="方正仿宋简体"/>
          <w:sz w:val="32"/>
          <w:szCs w:val="32"/>
          <w:u w:val="single"/>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投标时需提供的</w:t>
      </w:r>
      <w:r>
        <w:rPr>
          <w:rFonts w:hint="eastAsia" w:ascii="方正仿宋简体" w:hAnsi="方正仿宋简体" w:eastAsia="方正仿宋简体" w:cs="方正仿宋简体"/>
          <w:b/>
          <w:sz w:val="32"/>
          <w:szCs w:val="32"/>
        </w:rPr>
        <w:t>必备材料</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sz w:val="32"/>
          <w:szCs w:val="32"/>
        </w:rPr>
        <w:t>1.《营业执照》、《税务登记证》、《组织机构代码证》（或三证合一）（复印件</w:t>
      </w:r>
      <w:r>
        <w:rPr>
          <w:rFonts w:hint="eastAsia" w:ascii="方正仿宋简体" w:hAnsi="方正仿宋简体" w:eastAsia="方正仿宋简体" w:cs="方正仿宋简体"/>
          <w:kern w:val="1"/>
          <w:sz w:val="32"/>
          <w:szCs w:val="32"/>
        </w:rPr>
        <w:t xml:space="preserve">需盖公章）。 </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sz w:val="32"/>
          <w:szCs w:val="32"/>
        </w:rPr>
        <w:t>2.报价函（</w:t>
      </w:r>
      <w:r>
        <w:rPr>
          <w:rFonts w:hint="eastAsia" w:ascii="方正仿宋简体" w:hAnsi="方正仿宋简体" w:eastAsia="方正仿宋简体" w:cs="方正仿宋简体"/>
          <w:kern w:val="1"/>
          <w:sz w:val="32"/>
          <w:szCs w:val="32"/>
        </w:rPr>
        <w:t>需盖公章,签字处需手签，打印无效）。</w:t>
      </w:r>
    </w:p>
    <w:p>
      <w:pPr>
        <w:pStyle w:val="4"/>
        <w:spacing w:after="0" w:line="600" w:lineRule="exact"/>
        <w:ind w:firstLine="640" w:firstLineChars="200"/>
        <w:rPr>
          <w:rFonts w:ascii="方正仿宋简体" w:hAnsi="方正仿宋简体" w:eastAsia="方正仿宋简体" w:cs="方正仿宋简体"/>
          <w:bCs/>
          <w:color w:val="FF0000"/>
          <w:sz w:val="30"/>
          <w:szCs w:val="30"/>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bCs/>
          <w:color w:val="FF0000"/>
          <w:sz w:val="30"/>
          <w:szCs w:val="30"/>
        </w:rPr>
        <w:t>不接受被列入失信被执行人、重大违法案件当事人投标。</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bCs/>
          <w:kern w:val="1"/>
          <w:sz w:val="32"/>
          <w:szCs w:val="32"/>
        </w:rPr>
        <w:t>投标人应</w:t>
      </w:r>
      <w:r>
        <w:rPr>
          <w:rFonts w:hint="eastAsia" w:ascii="方正仿宋简体" w:hAnsi="方正仿宋简体" w:eastAsia="方正仿宋简体" w:cs="方正仿宋简体"/>
          <w:bCs/>
          <w:sz w:val="32"/>
          <w:szCs w:val="32"/>
        </w:rPr>
        <w:t>具备良好的售后服务能力，要求电话联系后</w:t>
      </w:r>
      <w:r>
        <w:rPr>
          <w:rFonts w:hint="eastAsia" w:ascii="方正仿宋简体" w:hAnsi="方正仿宋简体" w:eastAsia="方正仿宋简体" w:cs="方正仿宋简体"/>
          <w:bCs/>
          <w:sz w:val="32"/>
          <w:szCs w:val="32"/>
          <w:u w:val="single"/>
        </w:rPr>
        <w:t xml:space="preserve"> 24小时 </w:t>
      </w:r>
      <w:r>
        <w:rPr>
          <w:rFonts w:hint="eastAsia" w:ascii="方正仿宋简体" w:hAnsi="方正仿宋简体" w:eastAsia="方正仿宋简体" w:cs="方正仿宋简体"/>
          <w:bCs/>
          <w:sz w:val="32"/>
          <w:szCs w:val="32"/>
        </w:rPr>
        <w:t>内必须给予回复，明确解决方案，</w:t>
      </w:r>
      <w:r>
        <w:rPr>
          <w:rFonts w:hint="eastAsia" w:ascii="方正仿宋简体" w:hAnsi="方正仿宋简体" w:eastAsia="方正仿宋简体" w:cs="方正仿宋简体"/>
          <w:sz w:val="32"/>
          <w:szCs w:val="32"/>
        </w:rPr>
        <w:t>必要时需来我公司作技术指导</w:t>
      </w:r>
      <w:r>
        <w:rPr>
          <w:rFonts w:hint="eastAsia" w:ascii="方正仿宋简体" w:hAnsi="方正仿宋简体" w:eastAsia="方正仿宋简体" w:cs="方正仿宋简体"/>
          <w:bCs/>
          <w:sz w:val="32"/>
          <w:szCs w:val="32"/>
        </w:rPr>
        <w:t>。</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bCs/>
          <w:sz w:val="32"/>
          <w:szCs w:val="32"/>
        </w:rPr>
        <w:t>投标人所供产品引起的知识产权方面的纠纷，由投标人承担一切后果，招标人不承担任何责任。</w:t>
      </w:r>
    </w:p>
    <w:p>
      <w:pPr>
        <w:ind w:left="1270" w:leftChars="300" w:hanging="640" w:hangingChars="200"/>
        <w:jc w:val="left"/>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bCs/>
          <w:sz w:val="32"/>
          <w:szCs w:val="32"/>
        </w:rPr>
        <w:t>中标单位发货前需通知招标方验货，招标方根据</w:t>
      </w:r>
    </w:p>
    <w:p>
      <w:pPr>
        <w:jc w:val="left"/>
        <w:rPr>
          <w:rFonts w:ascii="方正楷体_GBK" w:hAnsi="方正楷体_GBK" w:eastAsia="方正楷体_GBK" w:cs="方正楷体_GBK"/>
          <w:sz w:val="32"/>
          <w:szCs w:val="32"/>
        </w:rPr>
      </w:pPr>
      <w:r>
        <w:rPr>
          <w:rFonts w:hint="eastAsia" w:ascii="方正仿宋简体" w:hAnsi="方正仿宋简体" w:eastAsia="方正仿宋简体" w:cs="方正仿宋简体"/>
          <w:bCs/>
          <w:sz w:val="32"/>
          <w:szCs w:val="32"/>
        </w:rPr>
        <w:t>需求选择验货方式和地点。</w:t>
      </w:r>
    </w:p>
    <w:p>
      <w:pPr>
        <w:ind w:left="1600" w:hanging="1600" w:hangingChars="500"/>
        <w:jc w:val="left"/>
        <w:rPr>
          <w:rFonts w:ascii="方正仿宋简体" w:hAnsi="方正仿宋简体" w:eastAsia="方正仿宋简体" w:cs="方正仿宋简体"/>
          <w:b/>
          <w:bCs/>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bCs/>
          <w:sz w:val="32"/>
          <w:szCs w:val="32"/>
        </w:rPr>
        <w:t>生产厂家（品牌）要求为</w:t>
      </w:r>
      <w:r>
        <w:rPr>
          <w:rFonts w:hint="eastAsia" w:ascii="方正仿宋简体" w:hAnsi="方正仿宋简体" w:eastAsia="方正仿宋简体" w:cs="方正仿宋简体"/>
          <w:b/>
          <w:bCs/>
          <w:sz w:val="32"/>
          <w:szCs w:val="32"/>
        </w:rPr>
        <w:t>大连科环泵业有限公司</w:t>
      </w:r>
      <w:r>
        <w:rPr>
          <w:rFonts w:hint="eastAsia" w:ascii="方正仿宋简体" w:hAnsi="方正仿宋简体" w:eastAsia="方正仿宋简体" w:cs="方正仿宋简体"/>
          <w:bCs/>
          <w:sz w:val="32"/>
          <w:szCs w:val="32"/>
        </w:rPr>
        <w:t>、</w:t>
      </w:r>
      <w:r>
        <w:rPr>
          <w:rFonts w:hint="eastAsia" w:ascii="方正仿宋简体" w:hAnsi="方正仿宋简体" w:eastAsia="方正仿宋简体" w:cs="方正仿宋简体"/>
          <w:b/>
          <w:bCs/>
          <w:sz w:val="32"/>
          <w:szCs w:val="32"/>
        </w:rPr>
        <w:t>丹</w:t>
      </w:r>
    </w:p>
    <w:p>
      <w:pPr>
        <w:ind w:left="1606" w:hanging="1606" w:hangingChars="500"/>
        <w:jc w:val="left"/>
        <w:rPr>
          <w:rFonts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东通博流体设备有限公司</w:t>
      </w:r>
      <w:r>
        <w:rPr>
          <w:rFonts w:hint="eastAsia" w:ascii="方正仿宋简体" w:hAnsi="方正仿宋简体" w:eastAsia="方正仿宋简体" w:cs="方正仿宋简体"/>
          <w:bCs/>
          <w:sz w:val="32"/>
          <w:szCs w:val="32"/>
        </w:rPr>
        <w:t>、</w:t>
      </w:r>
      <w:r>
        <w:rPr>
          <w:rFonts w:hint="eastAsia" w:ascii="方正仿宋简体" w:hAnsi="方正仿宋简体" w:eastAsia="方正仿宋简体" w:cs="方正仿宋简体"/>
          <w:b/>
          <w:bCs/>
          <w:sz w:val="32"/>
          <w:szCs w:val="32"/>
        </w:rPr>
        <w:t>江苏建安泵业制造有限公司、上</w:t>
      </w:r>
    </w:p>
    <w:p>
      <w:pPr>
        <w:ind w:left="1606" w:hanging="1606" w:hangingChars="5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
          <w:bCs/>
          <w:sz w:val="32"/>
          <w:szCs w:val="32"/>
        </w:rPr>
        <w:t>海江风化工设备有限公司</w:t>
      </w:r>
      <w:r>
        <w:rPr>
          <w:rFonts w:hint="eastAsia" w:ascii="方正仿宋简体" w:hAnsi="方正仿宋简体" w:eastAsia="方正仿宋简体" w:cs="方正仿宋简体"/>
          <w:bCs/>
          <w:sz w:val="32"/>
          <w:szCs w:val="32"/>
        </w:rPr>
        <w:t>。投标人必须注明所供产品的</w:t>
      </w:r>
      <w:r>
        <w:rPr>
          <w:rFonts w:hint="eastAsia" w:ascii="方正仿宋简体" w:hAnsi="方正仿宋简体" w:eastAsia="方正仿宋简体" w:cs="方正仿宋简体"/>
          <w:sz w:val="32"/>
          <w:szCs w:val="32"/>
        </w:rPr>
        <w:t>生产</w:t>
      </w:r>
    </w:p>
    <w:p>
      <w:pPr>
        <w:ind w:left="1600" w:hanging="1600" w:hangingChars="500"/>
        <w:jc w:val="left"/>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厂家（品牌），</w:t>
      </w:r>
      <w:r>
        <w:rPr>
          <w:rFonts w:hint="eastAsia" w:ascii="方正仿宋简体" w:hAnsi="方正仿宋简体" w:eastAsia="方正仿宋简体" w:cs="方正仿宋简体"/>
          <w:color w:val="FF0000"/>
          <w:sz w:val="32"/>
          <w:szCs w:val="32"/>
        </w:rPr>
        <w:t>未注明生产厂家（品牌）一律按废标处理</w:t>
      </w:r>
      <w:r>
        <w:rPr>
          <w:rFonts w:hint="eastAsia" w:ascii="方正仿宋简体" w:hAnsi="方正仿宋简体" w:eastAsia="方正仿宋简体" w:cs="方正仿宋简体"/>
          <w:sz w:val="32"/>
          <w:szCs w:val="32"/>
        </w:rPr>
        <w:t>。</w:t>
      </w:r>
    </w:p>
    <w:p>
      <w:pPr>
        <w:pStyle w:val="5"/>
        <w:spacing w:line="600" w:lineRule="exact"/>
        <w:ind w:firstLine="640" w:firstLineChars="200"/>
        <w:rPr>
          <w:rFonts w:ascii="方正仿宋简体" w:hAnsi="方正仿宋简体" w:eastAsia="方正仿宋简体" w:cs="方正仿宋简体"/>
          <w:bCs/>
          <w:sz w:val="32"/>
          <w:szCs w:val="32"/>
        </w:rPr>
      </w:pPr>
      <w:r>
        <w:rPr>
          <w:rFonts w:hint="eastAsia" w:ascii="方正黑体_GBK" w:hAnsi="方正黑体_GBK" w:eastAsia="方正黑体_GBK" w:cs="方正黑体_GBK"/>
          <w:kern w:val="2"/>
          <w:sz w:val="32"/>
          <w:szCs w:val="32"/>
        </w:rPr>
        <w:t>四、投标</w:t>
      </w:r>
    </w:p>
    <w:p>
      <w:pPr>
        <w:pStyle w:val="5"/>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ascii="方正仿宋简体" w:hAnsi="方正仿宋简体" w:eastAsia="方正仿宋简体" w:cs="方正仿宋简体"/>
          <w:kern w:val="1"/>
          <w:sz w:val="32"/>
          <w:szCs w:val="32"/>
          <w:u w:val="single"/>
        </w:rPr>
        <w:t>招标方</w:t>
      </w:r>
      <w:r>
        <w:rPr>
          <w:rFonts w:hint="eastAsia" w:ascii="方正仿宋简体" w:hAnsi="方正仿宋简体" w:eastAsia="方正仿宋简体" w:cs="方正仿宋简体"/>
          <w:kern w:val="1"/>
          <w:sz w:val="32"/>
          <w:szCs w:val="32"/>
          <w:u w:val="single"/>
        </w:rPr>
        <w:t>自收到标的物验收合格并且收到</w:t>
      </w:r>
      <w:r>
        <w:rPr>
          <w:rFonts w:ascii="方正仿宋简体" w:hAnsi="方正仿宋简体" w:eastAsia="方正仿宋简体" w:cs="方正仿宋简体"/>
          <w:kern w:val="1"/>
          <w:sz w:val="32"/>
          <w:szCs w:val="32"/>
          <w:u w:val="single"/>
        </w:rPr>
        <w:t>中标方</w:t>
      </w:r>
      <w:r>
        <w:rPr>
          <w:rFonts w:hint="eastAsia" w:ascii="方正仿宋简体" w:hAnsi="方正仿宋简体" w:eastAsia="方正仿宋简体" w:cs="方正仿宋简体"/>
          <w:kern w:val="1"/>
          <w:sz w:val="32"/>
          <w:szCs w:val="32"/>
          <w:u w:val="single"/>
        </w:rPr>
        <w:t>开具的增值税发票后</w:t>
      </w:r>
      <w:r>
        <w:rPr>
          <w:rFonts w:hint="eastAsia" w:ascii="方正仿宋简体" w:hAnsi="方正仿宋简体" w:eastAsia="方正仿宋简体" w:cs="方正仿宋简体"/>
          <w:b/>
          <w:kern w:val="1"/>
          <w:sz w:val="32"/>
          <w:szCs w:val="32"/>
          <w:u w:val="single"/>
        </w:rPr>
        <w:t>60日内以银行承兑</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本项目投标可通过线上和线下两种方式进行：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1.采用线上投标需严格按照1688线上格式要求填写报价。</w:t>
      </w:r>
    </w:p>
    <w:p>
      <w:pPr>
        <w:pStyle w:val="4"/>
        <w:spacing w:after="0"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采用线下投标应将报价书及相关资料以标袋形式送达，标袋必须密封并加盖公章；在标袋封面上需注明投标项目名称、投标方名称、联系人、联系电话等；并要求在投标截止时间之前送达，逾期将作为废标处理。</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kern w:val="1"/>
          <w:sz w:val="32"/>
          <w:szCs w:val="32"/>
        </w:rPr>
        <w:t>（四）</w:t>
      </w:r>
      <w:r>
        <w:rPr>
          <w:rFonts w:hint="eastAsia" w:ascii="方正仿宋简体" w:hAnsi="方正仿宋简体" w:eastAsia="方正仿宋简体" w:cs="方正仿宋简体"/>
          <w:kern w:val="1"/>
          <w:sz w:val="32"/>
          <w:szCs w:val="32"/>
        </w:rPr>
        <w:t>具体报价格式见</w:t>
      </w:r>
      <w:r>
        <w:rPr>
          <w:rFonts w:hint="eastAsia" w:ascii="方正仿宋简体" w:hAnsi="方正仿宋简体" w:eastAsia="方正仿宋简体" w:cs="方正仿宋简体"/>
          <w:b/>
          <w:kern w:val="1"/>
          <w:sz w:val="32"/>
          <w:szCs w:val="32"/>
        </w:rPr>
        <w:t>报价函</w:t>
      </w:r>
      <w:r>
        <w:rPr>
          <w:rFonts w:hint="eastAsia" w:ascii="方正仿宋简体" w:hAnsi="方正仿宋简体" w:eastAsia="方正仿宋简体" w:cs="方正仿宋简体"/>
          <w:kern w:val="1"/>
          <w:sz w:val="32"/>
          <w:szCs w:val="32"/>
        </w:rPr>
        <w:t>，报价文件需提供</w:t>
      </w:r>
      <w:r>
        <w:rPr>
          <w:rFonts w:hint="eastAsia" w:ascii="方正仿宋简体" w:hAnsi="方正仿宋简体" w:eastAsia="方正仿宋简体" w:cs="方正仿宋简体"/>
          <w:color w:val="FF0000"/>
          <w:kern w:val="1"/>
          <w:sz w:val="32"/>
          <w:szCs w:val="32"/>
          <w:u w:val="single"/>
        </w:rPr>
        <w:t xml:space="preserve"> 1 </w:t>
      </w:r>
      <w:r>
        <w:rPr>
          <w:rFonts w:hint="eastAsia" w:ascii="方正仿宋简体" w:hAnsi="方正仿宋简体" w:eastAsia="方正仿宋简体" w:cs="方正仿宋简体"/>
          <w:kern w:val="1"/>
          <w:sz w:val="32"/>
          <w:szCs w:val="32"/>
        </w:rPr>
        <w:t>份。</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采用线下投标的，投标文件请密封邮寄：</w:t>
      </w:r>
    </w:p>
    <w:p>
      <w:pPr>
        <w:pStyle w:val="16"/>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收件人：杨雨琦</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联系电话：0511-88995538，13952943464</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凡对招标文件条款有疑义的，请在开标前按以下方式联系：</w:t>
      </w:r>
    </w:p>
    <w:p>
      <w:pPr>
        <w:pStyle w:val="16"/>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招标业务联系电话：0511-88995538，13952943464</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技术部门联系人：周祥生   电话：13861358963</w:t>
      </w:r>
      <w:r>
        <w:rPr>
          <w:rFonts w:hint="eastAsia" w:ascii="方正仿宋简体" w:hAnsi="方正仿宋简体" w:eastAsia="方正仿宋简体" w:cs="方正仿宋简体"/>
          <w:bCs/>
          <w:color w:val="FF0000"/>
          <w:kern w:val="1"/>
          <w:sz w:val="32"/>
          <w:szCs w:val="32"/>
        </w:rPr>
        <w:t xml:space="preserve"> </w:t>
      </w:r>
    </w:p>
    <w:p>
      <w:pPr>
        <w:pStyle w:val="5"/>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开标、评标及废标：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color w:val="FF0000"/>
          <w:sz w:val="32"/>
          <w:szCs w:val="32"/>
        </w:rPr>
        <w:t>本次采用该种评标方式</w:t>
      </w:r>
      <w:r>
        <w:rPr>
          <w:rFonts w:hint="eastAsia" w:ascii="方正仿宋简体" w:hAnsi="方正仿宋简体" w:eastAsia="方正仿宋简体" w:cs="方正仿宋简体"/>
          <w:sz w:val="32"/>
          <w:szCs w:val="32"/>
        </w:rPr>
        <w:t>）</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在能够满足招标人技术要求及供货期要求的投标人中选择总投标价最低的一家投标人作为中标候选人。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bCs/>
          <w:kern w:val="1"/>
          <w:sz w:val="32"/>
          <w:szCs w:val="32"/>
        </w:rPr>
        <w:t>处理。</w:t>
      </w:r>
    </w:p>
    <w:p>
      <w:pPr>
        <w:pStyle w:val="5"/>
        <w:spacing w:line="600" w:lineRule="exact"/>
        <w:ind w:firstLine="643"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对不合格货品招标人应及时通知中标人，如有异议双方可协商解决；如需仲裁，应按合同约定在规定时间内按《产品质量仲裁检验和产品质量鉴定管理办法》执行。仲裁期间中标人应保证招标人供应，不影响招标人正常生产运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如因投标人不能正常履约，对招标人生产经营活动造成影响的，招标人可向阿里巴巴公司投诉；如严重影响招标人生产经营活动的，招标人将依法追究投标方法律责任。</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投标人在中标后无正当理由不与招标人签订合同的，将承担违约责任，列入招标人供应商负面清单；若为阿里巴巴平台投标，同时招标人将向阿里巴巴进行投诉。</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（七）</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（八）</w:t>
      </w:r>
      <w:r>
        <w:rPr>
          <w:rFonts w:hint="eastAsia" w:ascii="方正仿宋简体" w:hAnsi="方正仿宋简体" w:eastAsia="方正仿宋简体" w:cs="方正仿宋简体"/>
          <w:bCs/>
          <w:kern w:val="1"/>
          <w:sz w:val="32"/>
          <w:szCs w:val="32"/>
        </w:rPr>
        <w:t>外协作业人员需先进行安全教育培训。</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（九）</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w:t>
      </w: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2"/>
        <w:rPr>
          <w:rFonts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镇江海纳川物流产业发展有限责任公司：</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sz w:val="32"/>
          <w:szCs w:val="32"/>
        </w:rPr>
        <w:t>一、</w:t>
      </w:r>
      <w:r>
        <w:rPr>
          <w:rFonts w:hint="eastAsia" w:ascii="方正仿宋简体" w:hAnsi="方正仿宋简体" w:eastAsia="方正仿宋简体" w:cs="方正仿宋简体"/>
          <w:kern w:val="1"/>
          <w:sz w:val="32"/>
          <w:szCs w:val="32"/>
        </w:rPr>
        <w:t>投标项目的总投标价（含税）为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2"/>
        <w:tblW w:w="6273" w:type="pct"/>
        <w:tblInd w:w="-1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3"/>
        <w:gridCol w:w="1335"/>
        <w:gridCol w:w="1450"/>
        <w:gridCol w:w="1017"/>
        <w:gridCol w:w="2613"/>
        <w:gridCol w:w="535"/>
        <w:gridCol w:w="537"/>
        <w:gridCol w:w="1018"/>
        <w:gridCol w:w="1014"/>
        <w:gridCol w:w="7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trPr>
        <w:tc>
          <w:tcPr>
            <w:tcW w:w="216"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序号</w:t>
            </w:r>
          </w:p>
        </w:tc>
        <w:tc>
          <w:tcPr>
            <w:tcW w:w="624"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标的名称</w:t>
            </w:r>
          </w:p>
        </w:tc>
        <w:tc>
          <w:tcPr>
            <w:tcW w:w="678"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型号</w:t>
            </w:r>
          </w:p>
        </w:tc>
        <w:tc>
          <w:tcPr>
            <w:tcW w:w="475"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规格</w:t>
            </w:r>
          </w:p>
        </w:tc>
        <w:tc>
          <w:tcPr>
            <w:tcW w:w="1221"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生产厂家（品牌）</w:t>
            </w:r>
          </w:p>
        </w:tc>
        <w:tc>
          <w:tcPr>
            <w:tcW w:w="250"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单位</w:t>
            </w:r>
          </w:p>
        </w:tc>
        <w:tc>
          <w:tcPr>
            <w:tcW w:w="251"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数量</w:t>
            </w:r>
          </w:p>
        </w:tc>
        <w:tc>
          <w:tcPr>
            <w:tcW w:w="476"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单价  （含税）</w:t>
            </w:r>
          </w:p>
        </w:tc>
        <w:tc>
          <w:tcPr>
            <w:tcW w:w="474"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总价   （含税）</w:t>
            </w:r>
          </w:p>
        </w:tc>
        <w:tc>
          <w:tcPr>
            <w:tcW w:w="332"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1" w:hRule="atLeast"/>
        </w:trPr>
        <w:tc>
          <w:tcPr>
            <w:tcW w:w="216" w:type="pct"/>
            <w:vAlign w:val="center"/>
          </w:tcPr>
          <w:p>
            <w:pPr>
              <w:widowControl/>
              <w:spacing w:line="0" w:lineRule="atLeast"/>
              <w:jc w:val="center"/>
              <w:rPr>
                <w:rFonts w:hint="eastAsia" w:ascii="方正仿宋简体" w:hAnsi="方正仿宋简体" w:eastAsia="方正仿宋简体" w:cs="方正仿宋简体"/>
                <w:szCs w:val="21"/>
                <w:lang w:val="en-US" w:eastAsia="zh-CN"/>
              </w:rPr>
            </w:pPr>
            <w:r>
              <w:rPr>
                <w:rFonts w:hint="eastAsia" w:ascii="方正仿宋简体" w:hAnsi="方正仿宋简体" w:eastAsia="方正仿宋简体" w:cs="方正仿宋简体"/>
                <w:szCs w:val="21"/>
                <w:lang w:val="en-US" w:eastAsia="zh-CN"/>
              </w:rPr>
              <w:t xml:space="preserve">1 </w:t>
            </w:r>
          </w:p>
        </w:tc>
        <w:tc>
          <w:tcPr>
            <w:tcW w:w="624" w:type="pct"/>
            <w:vAlign w:val="center"/>
          </w:tcPr>
          <w:p>
            <w:pPr>
              <w:keepNext w:val="0"/>
              <w:keepLines w:val="0"/>
              <w:widowControl/>
              <w:suppressLineNumbers w:val="0"/>
              <w:jc w:val="left"/>
              <w:textAlignment w:val="center"/>
              <w:rPr>
                <w:rFonts w:hint="default" w:ascii="宋体" w:hAnsi="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磁力驱动机泵</w:t>
            </w:r>
          </w:p>
        </w:tc>
        <w:tc>
          <w:tcPr>
            <w:tcW w:w="678" w:type="pct"/>
            <w:vAlign w:val="center"/>
          </w:tcPr>
          <w:p>
            <w:pPr>
              <w:keepNext w:val="0"/>
              <w:keepLines w:val="0"/>
              <w:widowControl/>
              <w:suppressLineNumbers w:val="0"/>
              <w:jc w:val="left"/>
              <w:textAlignment w:val="center"/>
              <w:rPr>
                <w:rFonts w:hint="eastAsia" w:ascii="宋体" w:hAnsi="宋体" w:eastAsia="宋体" w:cs="宋体"/>
                <w:color w:val="000000"/>
                <w:sz w:val="18"/>
                <w:szCs w:val="18"/>
                <w:lang w:eastAsia="zh-CN"/>
              </w:rPr>
            </w:pPr>
            <w:r>
              <w:rPr>
                <w:rFonts w:hint="eastAsia" w:ascii="宋体" w:hAnsi="宋体" w:eastAsia="宋体" w:cs="宋体"/>
                <w:i w:val="0"/>
                <w:iCs w:val="0"/>
                <w:color w:val="000000"/>
                <w:kern w:val="0"/>
                <w:sz w:val="18"/>
                <w:szCs w:val="18"/>
                <w:u w:val="none"/>
                <w:lang w:val="en-US" w:eastAsia="zh-CN" w:bidi="ar"/>
              </w:rPr>
              <w:t>HIMC50-32-250</w:t>
            </w:r>
          </w:p>
        </w:tc>
        <w:tc>
          <w:tcPr>
            <w:tcW w:w="475" w:type="pct"/>
            <w:vAlign w:val="center"/>
          </w:tcPr>
          <w:p>
            <w:pPr>
              <w:keepNext w:val="0"/>
              <w:keepLines w:val="0"/>
              <w:widowControl/>
              <w:suppressLineNumbers w:val="0"/>
              <w:jc w:val="left"/>
              <w:textAlignment w:val="center"/>
              <w:rPr>
                <w:rFonts w:hint="eastAsia" w:ascii="宋体" w:hAnsi="宋体" w:eastAsia="宋体" w:cs="宋体"/>
                <w:color w:val="000000"/>
                <w:sz w:val="18"/>
                <w:szCs w:val="18"/>
                <w:lang w:eastAsia="zh-CN"/>
              </w:rPr>
            </w:pPr>
            <w:r>
              <w:rPr>
                <w:rFonts w:hint="eastAsia" w:ascii="宋体" w:hAnsi="宋体" w:eastAsia="宋体" w:cs="宋体"/>
                <w:i w:val="0"/>
                <w:iCs w:val="0"/>
                <w:color w:val="000000"/>
                <w:kern w:val="0"/>
                <w:sz w:val="18"/>
                <w:szCs w:val="18"/>
                <w:u w:val="none"/>
                <w:lang w:val="en-US" w:eastAsia="zh-CN" w:bidi="ar"/>
              </w:rPr>
              <w:t>详见技术参数表</w:t>
            </w:r>
          </w:p>
        </w:tc>
        <w:tc>
          <w:tcPr>
            <w:tcW w:w="1221" w:type="pct"/>
            <w:vAlign w:val="center"/>
          </w:tcPr>
          <w:p>
            <w:pPr>
              <w:ind w:left="900" w:hanging="900" w:hangingChars="500"/>
              <w:jc w:val="center"/>
              <w:rPr>
                <w:color w:val="000000"/>
                <w:sz w:val="18"/>
                <w:szCs w:val="18"/>
              </w:rPr>
            </w:pPr>
            <w:r>
              <w:rPr>
                <w:rFonts w:hint="eastAsia"/>
                <w:color w:val="000000"/>
                <w:sz w:val="18"/>
                <w:szCs w:val="18"/>
              </w:rPr>
              <w:t>1. 大连科环泵业有限公司</w:t>
            </w:r>
          </w:p>
          <w:p>
            <w:pPr>
              <w:ind w:left="900" w:hanging="900" w:hangingChars="500"/>
              <w:jc w:val="center"/>
              <w:rPr>
                <w:color w:val="000000"/>
                <w:sz w:val="18"/>
                <w:szCs w:val="18"/>
              </w:rPr>
            </w:pPr>
            <w:r>
              <w:rPr>
                <w:rFonts w:hint="eastAsia"/>
                <w:color w:val="000000"/>
                <w:sz w:val="18"/>
                <w:szCs w:val="18"/>
              </w:rPr>
              <w:t>2.丹东通博流体设备有限公司</w:t>
            </w:r>
          </w:p>
          <w:p>
            <w:pPr>
              <w:ind w:left="900" w:hanging="900" w:hangingChars="500"/>
              <w:jc w:val="center"/>
              <w:rPr>
                <w:color w:val="000000"/>
                <w:sz w:val="18"/>
                <w:szCs w:val="18"/>
              </w:rPr>
            </w:pPr>
            <w:r>
              <w:rPr>
                <w:rFonts w:hint="eastAsia"/>
                <w:color w:val="000000"/>
                <w:sz w:val="18"/>
                <w:szCs w:val="18"/>
              </w:rPr>
              <w:t>3. 江苏建安泵业制造有限公司</w:t>
            </w:r>
          </w:p>
          <w:p>
            <w:pPr>
              <w:ind w:left="900" w:hanging="900" w:hangingChars="500"/>
              <w:jc w:val="center"/>
              <w:rPr>
                <w:color w:val="000000"/>
                <w:sz w:val="18"/>
                <w:szCs w:val="18"/>
              </w:rPr>
            </w:pPr>
            <w:r>
              <w:rPr>
                <w:rFonts w:hint="eastAsia"/>
                <w:color w:val="000000"/>
                <w:sz w:val="18"/>
                <w:szCs w:val="18"/>
              </w:rPr>
              <w:t>4.上海江风化工设备有限公司</w:t>
            </w:r>
          </w:p>
        </w:tc>
        <w:tc>
          <w:tcPr>
            <w:tcW w:w="250" w:type="pct"/>
            <w:vAlign w:val="center"/>
          </w:tcPr>
          <w:p>
            <w:pPr>
              <w:keepNext w:val="0"/>
              <w:keepLines w:val="0"/>
              <w:widowControl/>
              <w:suppressLineNumbers w:val="0"/>
              <w:jc w:val="center"/>
              <w:textAlignment w:val="center"/>
              <w:rPr>
                <w:rFonts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台</w:t>
            </w:r>
          </w:p>
        </w:tc>
        <w:tc>
          <w:tcPr>
            <w:tcW w:w="251" w:type="pct"/>
            <w:vAlign w:val="center"/>
          </w:tcPr>
          <w:p>
            <w:pPr>
              <w:keepNext w:val="0"/>
              <w:keepLines w:val="0"/>
              <w:widowControl/>
              <w:suppressLineNumbers w:val="0"/>
              <w:jc w:val="center"/>
              <w:textAlignment w:val="center"/>
              <w:rPr>
                <w:rFonts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2 </w:t>
            </w:r>
          </w:p>
        </w:tc>
        <w:tc>
          <w:tcPr>
            <w:tcW w:w="476" w:type="pct"/>
            <w:vAlign w:val="center"/>
          </w:tcPr>
          <w:p>
            <w:pPr>
              <w:widowControl/>
              <w:spacing w:line="0" w:lineRule="atLeast"/>
              <w:jc w:val="center"/>
              <w:rPr>
                <w:rFonts w:ascii="方正仿宋简体" w:hAnsi="方正仿宋简体" w:eastAsia="方正仿宋简体" w:cs="方正仿宋简体"/>
                <w:szCs w:val="21"/>
              </w:rPr>
            </w:pPr>
          </w:p>
        </w:tc>
        <w:tc>
          <w:tcPr>
            <w:tcW w:w="474" w:type="pct"/>
            <w:vAlign w:val="center"/>
          </w:tcPr>
          <w:p>
            <w:pPr>
              <w:widowControl/>
              <w:spacing w:line="0" w:lineRule="atLeast"/>
              <w:jc w:val="center"/>
              <w:rPr>
                <w:rFonts w:ascii="方正仿宋简体" w:hAnsi="方正仿宋简体" w:eastAsia="方正仿宋简体" w:cs="方正仿宋简体"/>
                <w:szCs w:val="21"/>
              </w:rPr>
            </w:pPr>
          </w:p>
        </w:tc>
        <w:tc>
          <w:tcPr>
            <w:tcW w:w="332" w:type="pct"/>
            <w:vAlign w:val="center"/>
          </w:tcPr>
          <w:p>
            <w:pPr>
              <w:widowControl/>
              <w:spacing w:line="0" w:lineRule="atLeast"/>
              <w:jc w:val="center"/>
              <w:rPr>
                <w:rFonts w:ascii="方正仿宋简体" w:hAnsi="方正仿宋简体" w:eastAsia="方正仿宋简体" w:cs="方正仿宋简体"/>
                <w:szCs w:val="21"/>
              </w:rPr>
            </w:pPr>
          </w:p>
        </w:tc>
      </w:tr>
    </w:tbl>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按报价格式进行填报，每格均需填报，无报价以斜线、横线或0填满。</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三、我方承诺遵守招标文件中的全部规定。</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bCs/>
          <w:kern w:val="1"/>
          <w:sz w:val="32"/>
          <w:szCs w:val="32"/>
        </w:rPr>
        <w:t>、我方承诺中标后双方签订合同,并承担合同规定的责任义务。</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sz w:val="32"/>
          <w:szCs w:val="32"/>
          <w:shd w:val="clear" w:color="auto" w:fill="FFFFFF"/>
        </w:rPr>
        <w:t>、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bCs/>
          <w:kern w:val="1"/>
          <w:sz w:val="32"/>
          <w:szCs w:val="32"/>
        </w:rPr>
        <w:t>、愿意向贵方提供任何与该项投标有关的数据、情况和技术资料，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pPr>
        <w:pStyle w:val="4"/>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color w:val="000000"/>
          <w:kern w:val="1"/>
          <w:sz w:val="32"/>
          <w:szCs w:val="32"/>
        </w:rPr>
        <w:t>、投标单位其他说明情况：</w:t>
      </w:r>
      <w:r>
        <w:rPr>
          <w:rFonts w:hint="eastAsia" w:ascii="方正仿宋简体" w:hAnsi="方正仿宋简体" w:eastAsia="方正仿宋简体" w:cs="方正仿宋简体"/>
          <w:color w:val="000000"/>
          <w:kern w:val="1"/>
          <w:sz w:val="32"/>
          <w:szCs w:val="32"/>
          <w:u w:val="single"/>
        </w:rPr>
        <w:t xml:space="preserve">               </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pPr>
        <w:rPr>
          <w:rFonts w:ascii="方正仿宋简体" w:hAnsi="方正仿宋简体" w:eastAsia="方正仿宋简体" w:cs="方正仿宋简体"/>
          <w:kern w:val="1"/>
          <w:sz w:val="32"/>
          <w:szCs w:val="32"/>
        </w:rPr>
      </w:pPr>
    </w:p>
    <w:p>
      <w:pPr>
        <w:jc w:val="left"/>
        <w:rPr>
          <w:rFonts w:ascii="方正仿宋简体" w:hAnsi="方正仿宋简体" w:eastAsia="方正仿宋简体" w:cs="方正仿宋简体"/>
          <w:kern w:val="1"/>
          <w:sz w:val="32"/>
          <w:szCs w:val="32"/>
        </w:rPr>
      </w:pPr>
    </w:p>
    <w:p>
      <w:pPr>
        <w:jc w:val="left"/>
        <w:rPr>
          <w:rFonts w:ascii="方正仿宋简体" w:hAnsi="方正仿宋简体" w:eastAsia="方正仿宋简体" w:cs="方正仿宋简体"/>
          <w:kern w:val="1"/>
          <w:sz w:val="32"/>
          <w:szCs w:val="32"/>
        </w:rPr>
      </w:pPr>
    </w:p>
    <w:p>
      <w:pPr>
        <w:jc w:val="left"/>
        <w:rPr>
          <w:rFonts w:ascii="方正仿宋简体" w:hAnsi="方正仿宋简体" w:eastAsia="方正仿宋简体" w:cs="方正仿宋简体"/>
          <w:kern w:val="1"/>
          <w:sz w:val="32"/>
          <w:szCs w:val="32"/>
        </w:rPr>
      </w:pPr>
    </w:p>
    <w:p>
      <w:pPr>
        <w:jc w:val="left"/>
        <w:rPr>
          <w:rFonts w:ascii="方正仿宋简体" w:hAnsi="方正仿宋简体" w:eastAsia="方正仿宋简体" w:cs="方正仿宋简体"/>
          <w:kern w:val="1"/>
          <w:sz w:val="32"/>
          <w:szCs w:val="32"/>
        </w:rPr>
      </w:pPr>
    </w:p>
    <w:p>
      <w:pPr>
        <w:jc w:val="left"/>
        <w:rPr>
          <w:rFonts w:ascii="方正仿宋简体" w:hAnsi="方正仿宋简体" w:eastAsia="方正仿宋简体" w:cs="方正仿宋简体"/>
          <w:kern w:val="1"/>
          <w:sz w:val="32"/>
          <w:szCs w:val="32"/>
        </w:rPr>
      </w:pPr>
    </w:p>
    <w:p>
      <w:pPr>
        <w:jc w:val="left"/>
        <w:rPr>
          <w:rFonts w:ascii="方正仿宋简体" w:hAnsi="方正仿宋简体" w:eastAsia="方正仿宋简体" w:cs="方正仿宋简体"/>
          <w:kern w:val="1"/>
          <w:sz w:val="32"/>
          <w:szCs w:val="32"/>
        </w:rPr>
      </w:pPr>
    </w:p>
    <w:p>
      <w:pPr>
        <w:jc w:val="left"/>
        <w:rPr>
          <w:rFonts w:ascii="方正仿宋简体" w:hAnsi="方正仿宋简体" w:eastAsia="方正仿宋简体" w:cs="方正仿宋简体"/>
          <w:kern w:val="1"/>
          <w:sz w:val="32"/>
          <w:szCs w:val="32"/>
        </w:rPr>
      </w:pPr>
    </w:p>
    <w:p>
      <w:pPr>
        <w:jc w:val="left"/>
        <w:rPr>
          <w:rFonts w:ascii="方正仿宋简体" w:hAnsi="方正仿宋简体" w:eastAsia="方正仿宋简体" w:cs="方正仿宋简体"/>
          <w:kern w:val="1"/>
          <w:sz w:val="32"/>
          <w:szCs w:val="32"/>
        </w:rPr>
      </w:pPr>
    </w:p>
    <w:p>
      <w:pPr>
        <w:jc w:val="left"/>
        <w:rPr>
          <w:rFonts w:ascii="方正仿宋简体" w:hAnsi="方正仿宋简体" w:eastAsia="方正仿宋简体" w:cs="方正仿宋简体"/>
          <w:kern w:val="1"/>
          <w:sz w:val="32"/>
          <w:szCs w:val="32"/>
        </w:rPr>
      </w:pPr>
    </w:p>
    <w:p>
      <w:pPr>
        <w:jc w:val="left"/>
        <w:rPr>
          <w:rFonts w:ascii="方正仿宋简体" w:hAnsi="方正仿宋简体" w:eastAsia="方正仿宋简体" w:cs="方正仿宋简体"/>
          <w:kern w:val="1"/>
          <w:sz w:val="32"/>
          <w:szCs w:val="32"/>
        </w:rPr>
      </w:pPr>
    </w:p>
    <w:p>
      <w:pPr>
        <w:jc w:val="left"/>
        <w:rPr>
          <w:rFonts w:ascii="方正仿宋简体" w:hAnsi="方正仿宋简体" w:eastAsia="方正仿宋简体" w:cs="方正仿宋简体"/>
          <w:kern w:val="1"/>
          <w:sz w:val="32"/>
          <w:szCs w:val="32"/>
        </w:rPr>
      </w:pPr>
    </w:p>
    <w:p>
      <w:pPr>
        <w:widowControl/>
        <w:jc w:val="left"/>
        <w:rPr>
          <w:rFonts w:ascii="方正仿宋简体" w:hAnsi="方正仿宋简体" w:eastAsia="方正仿宋简体" w:cs="方正仿宋简体"/>
          <w:kern w:val="1"/>
          <w:sz w:val="32"/>
          <w:szCs w:val="32"/>
        </w:rPr>
        <w:sectPr>
          <w:footerReference r:id="rId3" w:type="default"/>
          <w:pgSz w:w="11906" w:h="16838"/>
          <w:pgMar w:top="1440" w:right="1800" w:bottom="1440" w:left="1800" w:header="851" w:footer="992" w:gutter="0"/>
          <w:cols w:space="720" w:num="1"/>
          <w:docGrid w:type="lines" w:linePitch="312" w:charSpace="0"/>
        </w:sectPr>
      </w:pPr>
    </w:p>
    <w:p>
      <w:pPr>
        <w:jc w:val="left"/>
        <w:rPr>
          <w:rFonts w:hint="default" w:ascii="方正仿宋简体" w:hAnsi="方正仿宋简体" w:eastAsia="方正仿宋简体" w:cs="方正仿宋简体"/>
          <w:kern w:val="1"/>
          <w:sz w:val="32"/>
          <w:szCs w:val="32"/>
          <w:lang w:val="en-US"/>
        </w:rPr>
      </w:pPr>
      <w:r>
        <w:rPr>
          <w:rFonts w:hint="eastAsia" w:ascii="方正仿宋简体" w:hAnsi="方正仿宋简体" w:eastAsia="方正仿宋简体" w:cs="方正仿宋简体"/>
          <w:kern w:val="1"/>
          <w:sz w:val="32"/>
          <w:szCs w:val="32"/>
        </w:rPr>
        <w:t>附1：</w:t>
      </w:r>
      <w:r>
        <w:rPr>
          <w:rFonts w:hint="eastAsia" w:ascii="方正仿宋简体" w:hAnsi="方正仿宋简体" w:eastAsia="方正仿宋简体" w:cs="方正仿宋简体"/>
          <w:kern w:val="1"/>
          <w:sz w:val="32"/>
          <w:szCs w:val="32"/>
          <w:lang w:val="en-US" w:eastAsia="zh-CN"/>
        </w:rPr>
        <w:t>P5311洗涤水机泵技术参数</w:t>
      </w:r>
    </w:p>
    <w:tbl>
      <w:tblPr>
        <w:tblStyle w:val="12"/>
        <w:tblW w:w="148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8"/>
        <w:gridCol w:w="1002"/>
        <w:gridCol w:w="465"/>
        <w:gridCol w:w="465"/>
        <w:gridCol w:w="455"/>
        <w:gridCol w:w="666"/>
        <w:gridCol w:w="1516"/>
        <w:gridCol w:w="416"/>
        <w:gridCol w:w="616"/>
        <w:gridCol w:w="455"/>
        <w:gridCol w:w="447"/>
        <w:gridCol w:w="716"/>
        <w:gridCol w:w="716"/>
        <w:gridCol w:w="564"/>
        <w:gridCol w:w="564"/>
        <w:gridCol w:w="1516"/>
        <w:gridCol w:w="457"/>
        <w:gridCol w:w="416"/>
        <w:gridCol w:w="416"/>
        <w:gridCol w:w="616"/>
        <w:gridCol w:w="616"/>
        <w:gridCol w:w="616"/>
        <w:gridCol w:w="6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 w:hRule="atLeast"/>
        </w:trPr>
        <w:tc>
          <w:tcPr>
            <w:tcW w:w="14860" w:type="dxa"/>
            <w:gridSpan w:val="23"/>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磁力泵技术参数一览表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2" w:hRule="atLeast"/>
        </w:trPr>
        <w:tc>
          <w:tcPr>
            <w:tcW w:w="5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0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位号</w:t>
            </w:r>
          </w:p>
        </w:tc>
        <w:tc>
          <w:tcPr>
            <w:tcW w:w="6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泵名称</w:t>
            </w:r>
          </w:p>
        </w:tc>
        <w:tc>
          <w:tcPr>
            <w:tcW w:w="6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介质     名称</w:t>
            </w:r>
          </w:p>
        </w:tc>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温度</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密度</w:t>
            </w:r>
          </w:p>
        </w:tc>
        <w:tc>
          <w:tcPr>
            <w:tcW w:w="14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泵型号</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额定    流量</w:t>
            </w:r>
          </w:p>
        </w:tc>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额定    扬程</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效率</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NPSHr</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转速          </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清水       轴功率      </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介质      轴功率      </w:t>
            </w:r>
          </w:p>
        </w:tc>
        <w:tc>
          <w:tcPr>
            <w:tcW w:w="18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配用电机型号及功率                          </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进口  直径    </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出口直径</w:t>
            </w:r>
          </w:p>
        </w:tc>
        <w:tc>
          <w:tcPr>
            <w:tcW w:w="15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主要过流部件材质</w:t>
            </w: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6" w:hRule="atLeast"/>
        </w:trPr>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6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w:t>
            </w:r>
          </w:p>
        </w:tc>
        <w:tc>
          <w:tcPr>
            <w:tcW w:w="55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kg/m</w:t>
            </w:r>
            <w:r>
              <w:rPr>
                <w:rStyle w:val="21"/>
                <w:lang w:val="en-US" w:eastAsia="zh-CN" w:bidi="ar"/>
              </w:rPr>
              <w:t>3</w:t>
            </w:r>
          </w:p>
        </w:tc>
        <w:tc>
          <w:tcPr>
            <w:tcW w:w="14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r>
              <w:rPr>
                <w:rStyle w:val="21"/>
                <w:lang w:val="en-US" w:eastAsia="zh-CN" w:bidi="ar"/>
              </w:rPr>
              <w:t>3</w:t>
            </w:r>
            <w:r>
              <w:rPr>
                <w:rStyle w:val="22"/>
                <w:lang w:val="en-US" w:eastAsia="zh-CN" w:bidi="ar"/>
              </w:rPr>
              <w:t>/h</w:t>
            </w:r>
          </w:p>
        </w:tc>
        <w:tc>
          <w:tcPr>
            <w:tcW w:w="46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47" w:type="dxa"/>
            <w:tcBorders>
              <w:top w:val="nil"/>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8" w:type="dxa"/>
            <w:tcBorders>
              <w:top w:val="nil"/>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93" w:type="dxa"/>
            <w:tcBorders>
              <w:top w:val="nil"/>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r/min</w:t>
            </w:r>
          </w:p>
        </w:tc>
        <w:tc>
          <w:tcPr>
            <w:tcW w:w="571" w:type="dxa"/>
            <w:tcBorders>
              <w:top w:val="nil"/>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kW</w:t>
            </w:r>
          </w:p>
        </w:tc>
        <w:tc>
          <w:tcPr>
            <w:tcW w:w="571" w:type="dxa"/>
            <w:tcBorders>
              <w:top w:val="nil"/>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kW</w:t>
            </w:r>
          </w:p>
        </w:tc>
        <w:tc>
          <w:tcPr>
            <w:tcW w:w="134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电机规格型号</w:t>
            </w:r>
          </w:p>
        </w:tc>
        <w:tc>
          <w:tcPr>
            <w:tcW w:w="5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功率         kW</w:t>
            </w:r>
          </w:p>
        </w:tc>
        <w:tc>
          <w:tcPr>
            <w:tcW w:w="39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mm</w:t>
            </w:r>
          </w:p>
        </w:tc>
        <w:tc>
          <w:tcPr>
            <w:tcW w:w="39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mm</w:t>
            </w:r>
          </w:p>
        </w:tc>
        <w:tc>
          <w:tcPr>
            <w:tcW w:w="5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泵体</w:t>
            </w:r>
          </w:p>
        </w:tc>
        <w:tc>
          <w:tcPr>
            <w:tcW w:w="5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叶轮</w:t>
            </w:r>
          </w:p>
        </w:tc>
        <w:tc>
          <w:tcPr>
            <w:tcW w:w="51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w:t>
            </w: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7" w:hRule="atLeast"/>
        </w:trPr>
        <w:tc>
          <w:tcPr>
            <w:tcW w:w="53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3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P5311AB</w:t>
            </w:r>
          </w:p>
        </w:tc>
        <w:tc>
          <w:tcPr>
            <w:tcW w:w="69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洗涤水循环泵</w:t>
            </w:r>
          </w:p>
        </w:tc>
        <w:tc>
          <w:tcPr>
            <w:tcW w:w="69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洗涤水</w:t>
            </w:r>
          </w:p>
        </w:tc>
        <w:tc>
          <w:tcPr>
            <w:tcW w:w="46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常温</w:t>
            </w:r>
          </w:p>
        </w:tc>
        <w:tc>
          <w:tcPr>
            <w:tcW w:w="55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HIMC50-32-250</w:t>
            </w:r>
          </w:p>
        </w:tc>
        <w:tc>
          <w:tcPr>
            <w:tcW w:w="4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w:t>
            </w:r>
          </w:p>
        </w:tc>
        <w:tc>
          <w:tcPr>
            <w:tcW w:w="46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447" w:type="dxa"/>
            <w:tcBorders>
              <w:top w:val="nil"/>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658" w:type="dxa"/>
            <w:tcBorders>
              <w:top w:val="nil"/>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4.5 </w:t>
            </w:r>
          </w:p>
        </w:tc>
        <w:tc>
          <w:tcPr>
            <w:tcW w:w="593" w:type="dxa"/>
            <w:tcBorders>
              <w:top w:val="nil"/>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2900</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8.8 </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8.8 </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YBX4-160M1-2W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dⅡBT4/IP55/F</w:t>
            </w:r>
          </w:p>
        </w:tc>
        <w:tc>
          <w:tcPr>
            <w:tcW w:w="5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39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39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5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316L</w:t>
            </w:r>
          </w:p>
        </w:tc>
        <w:tc>
          <w:tcPr>
            <w:tcW w:w="5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316L</w:t>
            </w:r>
          </w:p>
        </w:tc>
        <w:tc>
          <w:tcPr>
            <w:tcW w:w="51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316L</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磁力驱动泵，直联式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14860" w:type="dxa"/>
            <w:gridSpan w:val="23"/>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要求说明：1.电机采用高效节能型隔爆电机；能效等级应符合GB 18613-2020中的2级；电机防腐等级WF2;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0" w:type="auto"/>
            <w:gridSpan w:val="23"/>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2.泵法兰执行标准为HG/T20592 1.6MPa RF密封面；提供泵进出口配对法兰及连接件；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0" w:type="auto"/>
            <w:gridSpan w:val="23"/>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3.磁力泵用隔离套材质采用316L材料，磁力泵用轴套、滑动轴承和止推轴承材质采用SSIC材料，磁体采用Sm2Co17钐钴材料；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0" w:type="auto"/>
            <w:gridSpan w:val="23"/>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4.提供泵地脚螺栓及其紧固件；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0" w:type="auto"/>
            <w:gridSpan w:val="23"/>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5.现场为易腐蚀环境，泵外观需进行喷砂抛丸处理，油漆光滑美观牢固可靠。</w:t>
            </w:r>
          </w:p>
        </w:tc>
      </w:tr>
    </w:tbl>
    <w:p>
      <w:pPr>
        <w:pStyle w:val="10"/>
        <w:adjustRightInd w:val="0"/>
        <w:snapToGrid w:val="0"/>
        <w:spacing w:before="0" w:after="0" w:line="600" w:lineRule="exact"/>
        <w:jc w:val="left"/>
        <w:rPr>
          <w:rFonts w:ascii="方正仿宋简体" w:hAnsi="方正仿宋简体" w:eastAsia="方正仿宋简体" w:cs="方正仿宋简体"/>
          <w:kern w:val="1"/>
        </w:rPr>
        <w:sectPr>
          <w:pgSz w:w="16838" w:h="11906" w:orient="landscape"/>
          <w:pgMar w:top="1800" w:right="1440" w:bottom="1800" w:left="1440" w:header="851" w:footer="992" w:gutter="0"/>
          <w:cols w:space="720" w:num="1"/>
          <w:docGrid w:type="lines" w:linePitch="312" w:charSpace="0"/>
        </w:sectPr>
      </w:pPr>
    </w:p>
    <w:p>
      <w:pPr>
        <w:pStyle w:val="10"/>
        <w:adjustRightInd w:val="0"/>
        <w:snapToGrid w:val="0"/>
        <w:spacing w:before="0" w:after="0" w:line="600" w:lineRule="exact"/>
        <w:jc w:val="left"/>
        <w:rPr>
          <w:rFonts w:ascii="方正黑体_GBK" w:hAnsi="方正黑体_GBK" w:eastAsia="方正黑体_GBK" w:cs="方正黑体_GBK"/>
          <w:b w:val="0"/>
        </w:rPr>
      </w:pPr>
      <w:r>
        <w:rPr>
          <w:rFonts w:hint="eastAsia" w:ascii="方正仿宋简体" w:hAnsi="方正仿宋简体" w:eastAsia="方正仿宋简体" w:cs="方正仿宋简体"/>
          <w:kern w:val="1"/>
        </w:rPr>
        <w:t>附件1</w:t>
      </w:r>
    </w:p>
    <w:p>
      <w:pPr>
        <w:pStyle w:val="10"/>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审计风控</w:t>
      </w:r>
      <w:r>
        <w:rPr>
          <w:rFonts w:hint="eastAsia" w:ascii="方正仿宋简体" w:hAnsi="方正仿宋简体" w:eastAsia="方正仿宋简体" w:cs="方正仿宋简体"/>
          <w:sz w:val="32"/>
          <w:szCs w:val="32"/>
        </w:rPr>
        <w:t>部负责归口公司招投标负面清单，具体工作由海纳川各部室及直属单位共同承担。</w:t>
      </w: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pStyle w:val="4"/>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numPr>
          <w:ilvl w:val="0"/>
          <w:numId w:val="2"/>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5" cstate="print"/>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w:t>
      </w:r>
      <w:r>
        <w:rPr>
          <w:rFonts w:hint="eastAsia" w:ascii="方正仿宋简体" w:hAnsi="方正仿宋简体" w:eastAsia="方正仿宋简体" w:cs="方正仿宋简体"/>
          <w:sz w:val="32"/>
          <w:szCs w:val="32"/>
          <w:lang w:eastAsia="zh-CN"/>
        </w:rPr>
        <w:t>审计风控</w:t>
      </w:r>
      <w:r>
        <w:rPr>
          <w:rFonts w:hint="eastAsia" w:ascii="方正仿宋简体" w:hAnsi="方正仿宋简体" w:eastAsia="方正仿宋简体" w:cs="方正仿宋简体"/>
          <w:sz w:val="32"/>
          <w:szCs w:val="32"/>
        </w:rPr>
        <w:t>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pPr>
        <w:pStyle w:val="4"/>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pStyle w:val="4"/>
      </w:pPr>
    </w:p>
    <w:p>
      <w:pPr>
        <w:pStyle w:val="5"/>
      </w:pPr>
    </w:p>
    <w:p>
      <w:pPr>
        <w:pStyle w:val="5"/>
      </w:pPr>
    </w:p>
    <w:p>
      <w:pPr>
        <w:pStyle w:val="5"/>
      </w:pPr>
    </w:p>
    <w:p>
      <w:pPr>
        <w:pStyle w:val="5"/>
      </w:pPr>
    </w:p>
    <w:p>
      <w:pPr>
        <w:pStyle w:val="5"/>
      </w:pPr>
    </w:p>
    <w:p>
      <w:pPr>
        <w:pStyle w:val="5"/>
      </w:pPr>
    </w:p>
    <w:p>
      <w:pPr>
        <w:pStyle w:val="10"/>
        <w:adjustRightInd w:val="0"/>
        <w:snapToGrid w:val="0"/>
        <w:spacing w:before="0" w:after="0" w:line="600" w:lineRule="exact"/>
        <w:jc w:val="left"/>
        <w:rPr>
          <w:rFonts w:ascii="方正仿宋简体" w:hAnsi="方正仿宋简体" w:eastAsia="方正仿宋简体" w:cs="方正仿宋简体"/>
          <w:color w:val="000000"/>
        </w:rPr>
      </w:pPr>
      <w:r>
        <w:rPr>
          <w:rFonts w:hint="eastAsia" w:ascii="方正仿宋简体" w:hAnsi="方正仿宋简体" w:eastAsia="方正仿宋简体" w:cs="方正仿宋简体"/>
          <w:kern w:val="1"/>
        </w:rPr>
        <w:t>附件2：</w:t>
      </w:r>
      <w:r>
        <w:rPr>
          <w:rFonts w:ascii="方正仿宋简体" w:hAnsi="方正仿宋简体" w:eastAsia="方正仿宋简体" w:cs="方正仿宋简体"/>
          <w:color w:val="000000"/>
        </w:rPr>
        <w:t xml:space="preserve"> </w:t>
      </w:r>
    </w:p>
    <w:p>
      <w:pPr>
        <w:spacing w:line="600" w:lineRule="exact"/>
        <w:ind w:firstLine="883" w:firstLineChars="200"/>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产品买卖合同</w:t>
      </w:r>
    </w:p>
    <w:p>
      <w:pPr>
        <w:spacing w:line="600" w:lineRule="exact"/>
        <w:ind w:firstLine="640" w:firstLineChars="200"/>
        <w:jc w:val="left"/>
        <w:rPr>
          <w:rFonts w:ascii="方正仿宋简体" w:hAnsi="方正仿宋简体" w:eastAsia="方正仿宋简体" w:cs="方正仿宋简体"/>
          <w:sz w:val="32"/>
          <w:szCs w:val="32"/>
        </w:rPr>
      </w:pP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卖方：    </w:t>
      </w:r>
      <w:r>
        <w:rPr>
          <w:rFonts w:hint="eastAsia" w:ascii="仿宋_GB2312" w:hAnsi="仿宋_GB2312" w:eastAsia="仿宋_GB2312" w:cs="仿宋_GB2312"/>
          <w:sz w:val="28"/>
          <w:szCs w:val="28"/>
        </w:rPr>
        <w:t xml:space="preserve"> （以下简称“甲方”）</w:t>
      </w:r>
      <w:r>
        <w:rPr>
          <w:rFonts w:hint="eastAsia" w:ascii="方正仿宋简体" w:hAnsi="方正仿宋简体" w:eastAsia="方正仿宋简体" w:cs="方正仿宋简体"/>
          <w:sz w:val="32"/>
          <w:szCs w:val="32"/>
        </w:rPr>
        <w:t xml:space="preserve">                    　　  </w:t>
      </w:r>
    </w:p>
    <w:p>
      <w:pPr>
        <w:spacing w:line="360" w:lineRule="auto"/>
        <w:ind w:firstLine="640" w:firstLineChars="200"/>
        <w:rPr>
          <w:rFonts w:ascii="仿宋_GB2312" w:hAnsi="仿宋_GB2312" w:eastAsia="仿宋_GB2312" w:cs="仿宋_GB2312"/>
          <w:sz w:val="28"/>
          <w:szCs w:val="28"/>
        </w:rPr>
      </w:pPr>
      <w:r>
        <w:rPr>
          <w:rFonts w:hint="eastAsia" w:ascii="方正仿宋简体" w:hAnsi="方正仿宋简体" w:eastAsia="方正仿宋简体" w:cs="方正仿宋简体"/>
          <w:sz w:val="32"/>
          <w:szCs w:val="32"/>
        </w:rPr>
        <w:t>买方：</w:t>
      </w:r>
      <w:r>
        <w:rPr>
          <w:rFonts w:hint="eastAsia" w:ascii="仿宋_GB2312" w:hAnsi="仿宋_GB2312" w:eastAsia="仿宋_GB2312" w:cs="仿宋_GB2312"/>
          <w:sz w:val="28"/>
          <w:szCs w:val="28"/>
        </w:rPr>
        <w:t xml:space="preserve">      （以下简称“乙方”）</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签订地点：</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签订时间：          　　 </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第一条 标的、数量、单价及交（提）货时间 </w:t>
      </w: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b/>
          <w:bCs/>
          <w:sz w:val="32"/>
          <w:szCs w:val="32"/>
        </w:rPr>
        <w:t xml:space="preserve">    </w:t>
      </w:r>
      <w:r>
        <w:rPr>
          <w:rFonts w:hint="eastAsia" w:ascii="方正小标宋简体" w:hAnsi="方正小标宋简体" w:eastAsia="方正小标宋简体" w:cs="方正小标宋简体"/>
          <w:kern w:val="1"/>
          <w:sz w:val="24"/>
          <w:szCs w:val="24"/>
        </w:rPr>
        <w:t xml:space="preserve">         　　</w:t>
      </w:r>
    </w:p>
    <w:tbl>
      <w:tblPr>
        <w:tblStyle w:val="12"/>
        <w:tblpPr w:leftFromText="180" w:rightFromText="180" w:vertAnchor="text" w:horzAnchor="margin" w:tblpX="-245" w:tblpY="214"/>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17"/>
        <w:gridCol w:w="1701"/>
        <w:gridCol w:w="2269"/>
        <w:gridCol w:w="855"/>
        <w:gridCol w:w="703"/>
        <w:gridCol w:w="1134"/>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34"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序号</w:t>
            </w:r>
          </w:p>
        </w:tc>
        <w:tc>
          <w:tcPr>
            <w:tcW w:w="1417"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标的名称</w:t>
            </w:r>
          </w:p>
        </w:tc>
        <w:tc>
          <w:tcPr>
            <w:tcW w:w="1701"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型号</w:t>
            </w:r>
          </w:p>
        </w:tc>
        <w:tc>
          <w:tcPr>
            <w:tcW w:w="2269"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规格</w:t>
            </w:r>
          </w:p>
        </w:tc>
        <w:tc>
          <w:tcPr>
            <w:tcW w:w="855"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单位</w:t>
            </w:r>
          </w:p>
        </w:tc>
        <w:tc>
          <w:tcPr>
            <w:tcW w:w="703"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数量</w:t>
            </w:r>
          </w:p>
        </w:tc>
        <w:tc>
          <w:tcPr>
            <w:tcW w:w="1134"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单价  （含税）</w:t>
            </w:r>
          </w:p>
        </w:tc>
        <w:tc>
          <w:tcPr>
            <w:tcW w:w="1276"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总价    （含税）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34" w:type="dxa"/>
            <w:vAlign w:val="center"/>
          </w:tcPr>
          <w:p>
            <w:pPr>
              <w:spacing w:line="360" w:lineRule="auto"/>
              <w:jc w:val="center"/>
              <w:rPr>
                <w:rFonts w:ascii="宋体" w:hAnsi="宋体" w:cs="宋体"/>
                <w:color w:val="000000"/>
                <w:szCs w:val="21"/>
              </w:rPr>
            </w:pPr>
          </w:p>
        </w:tc>
        <w:tc>
          <w:tcPr>
            <w:tcW w:w="1417" w:type="dxa"/>
            <w:vAlign w:val="center"/>
          </w:tcPr>
          <w:p>
            <w:pPr>
              <w:spacing w:line="0" w:lineRule="atLeast"/>
              <w:jc w:val="left"/>
              <w:rPr>
                <w:rFonts w:ascii="宋体" w:hAnsi="宋体" w:cs="宋体"/>
                <w:color w:val="000000"/>
                <w:szCs w:val="21"/>
              </w:rPr>
            </w:pPr>
          </w:p>
        </w:tc>
        <w:tc>
          <w:tcPr>
            <w:tcW w:w="1701" w:type="dxa"/>
            <w:vAlign w:val="center"/>
          </w:tcPr>
          <w:p>
            <w:pPr>
              <w:spacing w:line="0" w:lineRule="atLeast"/>
              <w:jc w:val="left"/>
              <w:rPr>
                <w:rFonts w:ascii="宋体" w:hAnsi="宋体" w:cs="宋体"/>
                <w:color w:val="000000"/>
                <w:szCs w:val="21"/>
              </w:rPr>
            </w:pPr>
          </w:p>
        </w:tc>
        <w:tc>
          <w:tcPr>
            <w:tcW w:w="2269" w:type="dxa"/>
            <w:vAlign w:val="center"/>
          </w:tcPr>
          <w:p>
            <w:pPr>
              <w:spacing w:line="0" w:lineRule="atLeast"/>
              <w:ind w:left="525" w:hanging="525" w:hangingChars="250"/>
              <w:jc w:val="left"/>
              <w:rPr>
                <w:rFonts w:ascii="宋体" w:hAnsi="宋体" w:cs="宋体"/>
                <w:color w:val="000000"/>
                <w:szCs w:val="21"/>
              </w:rPr>
            </w:pPr>
          </w:p>
        </w:tc>
        <w:tc>
          <w:tcPr>
            <w:tcW w:w="855" w:type="dxa"/>
            <w:vAlign w:val="center"/>
          </w:tcPr>
          <w:p>
            <w:pPr>
              <w:spacing w:line="360" w:lineRule="auto"/>
              <w:jc w:val="center"/>
              <w:rPr>
                <w:rFonts w:ascii="宋体" w:hAnsi="宋体" w:cs="宋体"/>
                <w:color w:val="000000"/>
                <w:szCs w:val="21"/>
              </w:rPr>
            </w:pPr>
          </w:p>
        </w:tc>
        <w:tc>
          <w:tcPr>
            <w:tcW w:w="703" w:type="dxa"/>
            <w:vAlign w:val="center"/>
          </w:tcPr>
          <w:p>
            <w:pPr>
              <w:spacing w:line="360" w:lineRule="auto"/>
              <w:jc w:val="center"/>
              <w:rPr>
                <w:rFonts w:ascii="宋体" w:hAnsi="宋体" w:cs="宋体"/>
                <w:color w:val="000000"/>
                <w:szCs w:val="21"/>
              </w:rPr>
            </w:pPr>
          </w:p>
        </w:tc>
        <w:tc>
          <w:tcPr>
            <w:tcW w:w="1134" w:type="dxa"/>
            <w:vAlign w:val="center"/>
          </w:tcPr>
          <w:p>
            <w:pPr>
              <w:widowControl/>
              <w:jc w:val="center"/>
              <w:rPr>
                <w:rFonts w:ascii="仿宋" w:hAnsi="仿宋" w:eastAsia="仿宋" w:cs="仿宋"/>
                <w:sz w:val="24"/>
                <w:szCs w:val="24"/>
              </w:rPr>
            </w:pPr>
          </w:p>
        </w:tc>
        <w:tc>
          <w:tcPr>
            <w:tcW w:w="1276" w:type="dxa"/>
            <w:vAlign w:val="center"/>
          </w:tcPr>
          <w:p>
            <w:pPr>
              <w:widowControl/>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5921"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以上合计总价（大写）：</w:t>
            </w:r>
          </w:p>
        </w:tc>
        <w:tc>
          <w:tcPr>
            <w:tcW w:w="3968"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小写：元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5921"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税率： %</w:t>
            </w:r>
          </w:p>
        </w:tc>
        <w:tc>
          <w:tcPr>
            <w:tcW w:w="3968"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到货期：合同签订生效后  天</w:t>
            </w:r>
          </w:p>
        </w:tc>
      </w:tr>
    </w:tbl>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第二条 质量要求及技术标准</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甲方保证提供满足相关国家标准或行业标准要求的合格全新产品，所提供产品质量标准应该满足招标文件中规定的质量，规格，型号等</w:t>
      </w:r>
      <w:r>
        <w:rPr>
          <w:rFonts w:hint="eastAsia" w:ascii="方正仿宋简体" w:hAnsi="方正仿宋简体" w:eastAsia="方正仿宋简体" w:cs="方正仿宋简体"/>
          <w:kern w:val="1"/>
          <w:sz w:val="32"/>
          <w:szCs w:val="32"/>
        </w:rPr>
        <w:t>技术</w:t>
      </w:r>
      <w:r>
        <w:rPr>
          <w:rFonts w:hint="eastAsia" w:ascii="方正仿宋简体" w:hAnsi="方正仿宋简体" w:eastAsia="方正仿宋简体" w:cs="方正仿宋简体"/>
          <w:sz w:val="32"/>
          <w:szCs w:val="32"/>
        </w:rPr>
        <w:t>要求，</w:t>
      </w:r>
      <w:r>
        <w:rPr>
          <w:rFonts w:hint="eastAsia" w:ascii="方正仿宋简体" w:hAnsi="方正仿宋简体" w:eastAsia="方正仿宋简体" w:cs="方正仿宋简体"/>
          <w:kern w:val="1"/>
          <w:sz w:val="32"/>
          <w:szCs w:val="32"/>
        </w:rPr>
        <w:t>并且符合安全规范要求和技术标准,</w:t>
      </w:r>
      <w:r>
        <w:rPr>
          <w:rFonts w:hint="eastAsia" w:ascii="方正仿宋简体" w:hAnsi="方正仿宋简体" w:eastAsia="方正仿宋简体" w:cs="方正仿宋简体"/>
          <w:sz w:val="32"/>
          <w:szCs w:val="32"/>
        </w:rPr>
        <w:t>质保期1年。</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第三条 甲方对质量负责的条件及期限</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中华人民共和国产品质量法》、《中华人民共和国消费者权益保护法》实行“三包”即：包修、包换、包退，如果出现质量问题，未能满足乙方对产品的质量要求，乙方有权退回或者调换，产生的费用和损失由甲方承担。</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第四条 合理损耗标准及计算方法</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无损耗</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第五条 交（提）货方式、地点及费用承担</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甲方负责送货至乙方指定地点，运费由甲方承担。</w:t>
      </w:r>
    </w:p>
    <w:p>
      <w:pPr>
        <w:spacing w:line="600" w:lineRule="exact"/>
        <w:ind w:firstLine="640" w:firstLineChars="200"/>
        <w:rPr>
          <w:rFonts w:ascii="方正仿宋简体" w:hAnsi="方正仿宋简体" w:eastAsia="方正仿宋简体" w:cs="方正仿宋简体"/>
          <w:b/>
          <w:bCs/>
          <w:sz w:val="32"/>
          <w:szCs w:val="32"/>
        </w:rPr>
      </w:pPr>
      <w:r>
        <w:rPr>
          <w:rFonts w:hint="eastAsia" w:ascii="方正黑体_GBK" w:hAnsi="方正黑体_GBK" w:eastAsia="方正黑体_GBK" w:cs="方正黑体_GBK"/>
          <w:sz w:val="32"/>
          <w:szCs w:val="32"/>
        </w:rPr>
        <w:t>第六条  检验标准、方法、地点及期限</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根据甲方提供的货物使用一段时间没问题验收。</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第七条  结算方式及时间</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乙方自收到标的物验收合格并且收到甲方开具的13%增值税发票后</w:t>
      </w:r>
      <w:r>
        <w:rPr>
          <w:rFonts w:hint="eastAsia" w:ascii="方正仿宋简体" w:hAnsi="方正仿宋简体" w:eastAsia="方正仿宋简体" w:cs="方正仿宋简体"/>
          <w:b/>
          <w:kern w:val="1"/>
          <w:sz w:val="32"/>
          <w:szCs w:val="32"/>
        </w:rPr>
        <w:t>60日内以银行承兑</w:t>
      </w:r>
      <w:r>
        <w:rPr>
          <w:rFonts w:hint="eastAsia" w:ascii="方正仿宋简体" w:hAnsi="方正仿宋简体" w:eastAsia="方正仿宋简体" w:cs="方正仿宋简体"/>
          <w:sz w:val="32"/>
          <w:szCs w:val="32"/>
        </w:rPr>
        <w:t>方式付款。合同期内如国家税率进行调整，按以下公式调整价格：新税率价格＝合同含税价格÷（1+合同约定税率）×（1+国家规定的新税率）。</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第八条  违约责任</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w:t>
      </w:r>
      <w:r>
        <w:rPr>
          <w:rFonts w:hint="eastAsia" w:ascii="方正仿宋简体" w:hAnsi="方正仿宋简体" w:eastAsia="方正仿宋简体" w:cs="方正仿宋简体"/>
          <w:bCs/>
          <w:kern w:val="1"/>
          <w:sz w:val="30"/>
          <w:szCs w:val="30"/>
        </w:rPr>
        <w:t>如甲方没有按照规定的时间交货或提供服务，甲方将支付违约金，违约金应从货款中扣除，迟交货物或未提供服务的违约金逾期每日应按合同总金额的1%计收。但迟交货物或未提供服务超过20日，乙方有权解除合同,要求甲方五个工作日内返还乙方合同货款并按合同总额20%追究甲方违约责任</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2.甲方交货后，如果货物经检验不合格的，乙方可选择以下处理方式：</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乙方选择换货的，换货所产生的费用由甲方承担。经乙方同意甲方换货的，需在乙方第一次验收不合格之日起30日内供货，逾期供货的，违约责任参照第1款执行。如果出现两次经检验不合格的情况，乙方有权解除合同，甲方需在检验不合格之日起五个工作日内返还乙方合同货款，并赔偿合同总货款的20%违约金给乙方，乙方在甲方返还货款之前，有权质押货物，质押期间如产生仓储费，该仓储费由甲方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乙方选择解除合同的，退货所产生的费用由甲方承担。甲方需在检验不合格之日起五个工作日内返还乙方合同货款，并赔偿合同总货款的20%违约金给乙方，乙方在甲方返还货款之前，有权质押货物，质押期间如产生仓储费，仓储费由甲方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3.因甲方的产品质量、逾期交货等原因给乙方造成直接和间接经济损失的，由甲方承担。</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第九条 合同争议解决方式</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合同项下发生的争议，双方应协商解决，协商解决不成的，可向合同签订地人民法院起诉。败诉方应承担胜诉方因此支付的一切费用（包括但不限于诉讼费、仲裁费、律师费、执行费、评估费、拍卖费、代偿款、赔偿款等。）</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第十条 其它约定事项</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1.本合同一式</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份，甲方执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份，乙方执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份，自双方签字盖章之日起生效。</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2.其他未尽事宜，双方协商解决，并签订补充协议。</w:t>
      </w:r>
    </w:p>
    <w:p>
      <w:pPr>
        <w:pStyle w:val="3"/>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凡因发生严重的地震、洪水、海啸、台风等自然灾害，或战争、动乱、罢工等其他不能预见、不能避免且无法克服的不可抗力事件，致使任何一方全部或部分不能履行本合同的，遭受上述不可抗力事件的一方，应立即以口头和书面方式通知对方，并（应在三十日内）提供不可抗力的详情以及政府部门出具的相关证明文件，由此免除该方的违约责任。</w:t>
      </w:r>
    </w:p>
    <w:p/>
    <w:tbl>
      <w:tblPr>
        <w:tblStyle w:val="12"/>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9"/>
        <w:gridCol w:w="4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9" w:hRule="atLeast"/>
        </w:trPr>
        <w:tc>
          <w:tcPr>
            <w:tcW w:w="4679" w:type="dxa"/>
          </w:tcPr>
          <w:p>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甲方（盖章）：</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单位地址：</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法定代表人：</w:t>
            </w:r>
          </w:p>
          <w:p>
            <w:pPr>
              <w:spacing w:line="0" w:lineRule="atLeast"/>
              <w:rPr>
                <w:rFonts w:ascii="仿宋_GB2312" w:hAnsi="宋体" w:eastAsia="仿宋_GB2312"/>
                <w:sz w:val="28"/>
                <w:szCs w:val="28"/>
              </w:rPr>
            </w:pPr>
            <w:r>
              <w:rPr>
                <w:rFonts w:hint="eastAsia" w:ascii="仿宋_GB2312" w:hAnsi="宋体" w:eastAsia="仿宋_GB2312"/>
                <w:sz w:val="28"/>
                <w:szCs w:val="28"/>
              </w:rPr>
              <w:t>业务经办人：</w:t>
            </w:r>
          </w:p>
          <w:p>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电话：</w:t>
            </w:r>
          </w:p>
          <w:p>
            <w:pPr>
              <w:spacing w:line="0" w:lineRule="atLeast"/>
              <w:rPr>
                <w:rFonts w:ascii="仿宋_GB2312" w:hAnsi="宋体" w:eastAsia="仿宋_GB2312"/>
                <w:sz w:val="28"/>
                <w:szCs w:val="28"/>
              </w:rPr>
            </w:pPr>
            <w:r>
              <w:rPr>
                <w:rFonts w:hint="eastAsia" w:ascii="仿宋_GB2312" w:hAnsi="宋体" w:eastAsia="仿宋_GB2312"/>
                <w:sz w:val="28"/>
                <w:szCs w:val="28"/>
              </w:rPr>
              <w:t>传真：</w:t>
            </w:r>
          </w:p>
          <w:p>
            <w:pPr>
              <w:spacing w:line="0" w:lineRule="atLeast"/>
              <w:rPr>
                <w:rFonts w:ascii="仿宋_GB2312" w:hAnsi="宋体" w:eastAsia="仿宋_GB2312"/>
                <w:sz w:val="28"/>
                <w:szCs w:val="28"/>
              </w:rPr>
            </w:pPr>
            <w:r>
              <w:rPr>
                <w:rFonts w:hint="eastAsia" w:ascii="仿宋_GB2312" w:hAnsi="宋体" w:eastAsia="仿宋_GB2312"/>
                <w:sz w:val="28"/>
                <w:szCs w:val="28"/>
              </w:rPr>
              <w:t>开户行：</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账号：</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邮政编码：</w:t>
            </w:r>
          </w:p>
          <w:p>
            <w:pPr>
              <w:spacing w:line="0" w:lineRule="atLeast"/>
              <w:rPr>
                <w:rFonts w:ascii="仿宋_GB2312" w:hAnsi="宋体" w:eastAsia="仿宋_GB2312"/>
                <w:sz w:val="28"/>
                <w:szCs w:val="28"/>
              </w:rPr>
            </w:pPr>
            <w:r>
              <w:rPr>
                <w:rFonts w:hint="eastAsia" w:ascii="仿宋_GB2312" w:hAnsi="宋体" w:eastAsia="仿宋_GB2312"/>
                <w:sz w:val="28"/>
                <w:szCs w:val="28"/>
              </w:rPr>
              <w:t>签订日期：   年   月  日</w:t>
            </w:r>
          </w:p>
        </w:tc>
        <w:tc>
          <w:tcPr>
            <w:tcW w:w="4961" w:type="dxa"/>
          </w:tcPr>
          <w:p>
            <w:pPr>
              <w:spacing w:line="0" w:lineRule="atLeast"/>
              <w:rPr>
                <w:rFonts w:ascii="仿宋_GB2312" w:hAnsi="宋体" w:eastAsia="仿宋_GB2312"/>
                <w:sz w:val="28"/>
                <w:szCs w:val="28"/>
              </w:rPr>
            </w:pPr>
            <w:r>
              <w:rPr>
                <w:rFonts w:hint="eastAsia" w:ascii="仿宋_GB2312" w:hAnsi="宋体" w:eastAsia="仿宋_GB2312"/>
                <w:sz w:val="28"/>
                <w:szCs w:val="28"/>
              </w:rPr>
              <w:t>乙方（盖章）：</w:t>
            </w:r>
            <w:r>
              <w:rPr>
                <w:rFonts w:hint="eastAsia" w:ascii="方正仿宋简体" w:hAnsi="方正仿宋简体" w:eastAsia="方正仿宋简体" w:cs="方正仿宋简体"/>
                <w:sz w:val="28"/>
                <w:szCs w:val="28"/>
              </w:rPr>
              <w:t>镇江海纳川物流产业发展有限责任公司</w:t>
            </w:r>
          </w:p>
          <w:p>
            <w:pPr>
              <w:spacing w:line="0" w:lineRule="atLeast"/>
              <w:rPr>
                <w:rFonts w:ascii="仿宋_GB2312" w:hAnsi="宋体" w:eastAsia="仿宋_GB2312"/>
                <w:sz w:val="28"/>
                <w:szCs w:val="28"/>
              </w:rPr>
            </w:pPr>
            <w:r>
              <w:rPr>
                <w:rFonts w:hint="eastAsia" w:ascii="仿宋_GB2312" w:hAnsi="宋体" w:eastAsia="仿宋_GB2312"/>
                <w:sz w:val="28"/>
                <w:szCs w:val="28"/>
              </w:rPr>
              <w:t>单位地址：</w:t>
            </w:r>
            <w:r>
              <w:rPr>
                <w:rFonts w:hint="eastAsia" w:ascii="方正仿宋简体" w:hAnsi="方正仿宋简体" w:eastAsia="方正仿宋简体" w:cs="方正仿宋简体"/>
                <w:sz w:val="28"/>
                <w:szCs w:val="28"/>
              </w:rPr>
              <w:t>镇江市谏壁镇越河街50号</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法定代表人： </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业务经办人： </w:t>
            </w:r>
          </w:p>
          <w:p>
            <w:pPr>
              <w:spacing w:line="0" w:lineRule="atLeast"/>
              <w:rPr>
                <w:rFonts w:ascii="仿宋_GB2312" w:hAnsi="宋体" w:eastAsia="仿宋_GB2312"/>
                <w:sz w:val="28"/>
                <w:szCs w:val="28"/>
              </w:rPr>
            </w:pPr>
            <w:r>
              <w:rPr>
                <w:rFonts w:hint="eastAsia" w:ascii="仿宋_GB2312" w:hAnsi="宋体" w:eastAsia="仿宋_GB2312"/>
                <w:sz w:val="28"/>
                <w:szCs w:val="28"/>
              </w:rPr>
              <w:t>电话：</w:t>
            </w:r>
            <w:r>
              <w:rPr>
                <w:rFonts w:hint="eastAsia" w:ascii="方正仿宋简体" w:hAnsi="方正仿宋简体" w:eastAsia="方正仿宋简体" w:cs="方正仿宋简体"/>
                <w:sz w:val="28"/>
                <w:szCs w:val="28"/>
              </w:rPr>
              <w:t>0511-88995202</w:t>
            </w:r>
          </w:p>
          <w:p>
            <w:pPr>
              <w:spacing w:line="0" w:lineRule="atLeast"/>
              <w:rPr>
                <w:rFonts w:ascii="仿宋_GB2312" w:hAnsi="宋体" w:eastAsia="仿宋_GB2312"/>
                <w:sz w:val="28"/>
                <w:szCs w:val="28"/>
              </w:rPr>
            </w:pPr>
            <w:r>
              <w:rPr>
                <w:rFonts w:hint="eastAsia" w:ascii="仿宋_GB2312" w:hAnsi="宋体" w:eastAsia="仿宋_GB2312"/>
                <w:sz w:val="28"/>
                <w:szCs w:val="28"/>
              </w:rPr>
              <w:t>传真：</w:t>
            </w:r>
          </w:p>
          <w:p>
            <w:pPr>
              <w:spacing w:line="0" w:lineRule="atLeast"/>
              <w:rPr>
                <w:rFonts w:ascii="仿宋_GB2312" w:hAnsi="宋体" w:eastAsia="仿宋_GB2312"/>
                <w:sz w:val="28"/>
                <w:szCs w:val="28"/>
              </w:rPr>
            </w:pPr>
            <w:r>
              <w:rPr>
                <w:rFonts w:hint="eastAsia" w:ascii="仿宋_GB2312" w:hAnsi="宋体" w:eastAsia="仿宋_GB2312"/>
                <w:sz w:val="28"/>
                <w:szCs w:val="28"/>
              </w:rPr>
              <w:t>开户行：</w:t>
            </w:r>
            <w:r>
              <w:rPr>
                <w:rFonts w:hint="eastAsia" w:ascii="方正仿宋简体" w:hAnsi="方正仿宋简体" w:eastAsia="方正仿宋简体" w:cs="方正仿宋简体"/>
                <w:sz w:val="28"/>
                <w:szCs w:val="28"/>
              </w:rPr>
              <w:t>镇江市工商银行谏壁支行</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账号： </w:t>
            </w:r>
            <w:r>
              <w:rPr>
                <w:rFonts w:hint="eastAsia" w:ascii="方正仿宋简体" w:hAnsi="方正仿宋简体" w:eastAsia="方正仿宋简体" w:cs="方正仿宋简体"/>
                <w:sz w:val="28"/>
                <w:szCs w:val="28"/>
              </w:rPr>
              <w:t>1104 0703 0900 0001 648</w:t>
            </w:r>
          </w:p>
          <w:p>
            <w:pPr>
              <w:spacing w:line="0" w:lineRule="atLeast"/>
              <w:rPr>
                <w:rFonts w:ascii="仿宋_GB2312" w:hAnsi="宋体" w:eastAsia="仿宋_GB2312"/>
                <w:sz w:val="28"/>
                <w:szCs w:val="28"/>
              </w:rPr>
            </w:pPr>
            <w:r>
              <w:rPr>
                <w:rFonts w:hint="eastAsia" w:ascii="仿宋_GB2312" w:hAnsi="宋体" w:eastAsia="仿宋_GB2312"/>
                <w:sz w:val="28"/>
                <w:szCs w:val="28"/>
              </w:rPr>
              <w:t>邮政编码：212006</w:t>
            </w:r>
          </w:p>
          <w:p>
            <w:pPr>
              <w:spacing w:line="0" w:lineRule="atLeast"/>
              <w:rPr>
                <w:rFonts w:ascii="仿宋_GB2312" w:hAnsi="宋体" w:eastAsia="仿宋_GB2312"/>
                <w:sz w:val="28"/>
                <w:szCs w:val="28"/>
              </w:rPr>
            </w:pPr>
            <w:r>
              <w:rPr>
                <w:rFonts w:hint="eastAsia" w:ascii="仿宋_GB2312" w:hAnsi="宋体" w:eastAsia="仿宋_GB2312"/>
                <w:sz w:val="28"/>
                <w:szCs w:val="28"/>
              </w:rPr>
              <w:t>签订日期：2024年  月 日</w:t>
            </w:r>
          </w:p>
        </w:tc>
      </w:tr>
    </w:tbl>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本页为甲乙双方于2024年 月 日签订的《产品买卖合同》（编号：</w:t>
      </w:r>
      <w:r>
        <w:rPr>
          <w:rFonts w:ascii="方正仿宋简体" w:hAnsi="方正仿宋简体" w:eastAsia="方正仿宋简体" w:cs="方正仿宋简体"/>
          <w:sz w:val="32"/>
          <w:szCs w:val="32"/>
        </w:rPr>
        <w:t>HJHB-E-2024</w:t>
      </w:r>
      <w:r>
        <w:rPr>
          <w:rFonts w:hint="eastAsia" w:ascii="方正仿宋简体" w:hAnsi="方正仿宋简体" w:eastAsia="方正仿宋简体" w:cs="方正仿宋简体"/>
          <w:sz w:val="32"/>
          <w:szCs w:val="32"/>
        </w:rPr>
        <w:t>-00**）合同签章页。</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pict>
        <v:rect id="文本框 2" o:spid="_x0000_s4097" o:spt="1" style="position:absolute;left:0pt;margin-top:0pt;height:144pt;width:144pt;mso-position-horizontal:center;mso-position-horizontal-relative:margin;mso-wrap-style:none;z-index:251660288;mso-width-relative:page;mso-height-relative:page;" filled="f" o:preferrelative="t" stroked="f" coordsize="21600,21600">
          <v:path/>
          <v:fill on="f" focussize="0,0"/>
          <v:stroke on="f"/>
          <v:imagedata o:title=""/>
          <o:lock v:ext="edit"/>
          <v:textbox inset="0mm,0mm,0mm,0mm" style="mso-fit-shape-to-text:t;">
            <w:txbxContent>
              <w:p>
                <w:pPr>
                  <w:pStyle w:val="8"/>
                  <w:jc w:val="center"/>
                </w:pPr>
                <w:r>
                  <w:fldChar w:fldCharType="begin"/>
                </w:r>
                <w:r>
                  <w:instrText xml:space="preserve"> PAGE  \* MERGEFORMAT </w:instrText>
                </w:r>
                <w:r>
                  <w:fldChar w:fldCharType="separate"/>
                </w:r>
                <w:r>
                  <w:t>11</w:t>
                </w:r>
                <w: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abstractNum w:abstractNumId="1">
    <w:nsid w:val="7A45D22C"/>
    <w:multiLevelType w:val="singleLevel"/>
    <w:tmpl w:val="7A45D22C"/>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YmFhOThjNjg2YjgxMzJjYThhNDQ5ZTZmNGI1ZGM0ZDkifQ=="/>
  </w:docVars>
  <w:rsids>
    <w:rsidRoot w:val="359E47FF"/>
    <w:rsid w:val="00011B4B"/>
    <w:rsid w:val="00014408"/>
    <w:rsid w:val="00027081"/>
    <w:rsid w:val="00030F87"/>
    <w:rsid w:val="000310BC"/>
    <w:rsid w:val="0003693D"/>
    <w:rsid w:val="00061383"/>
    <w:rsid w:val="00063E06"/>
    <w:rsid w:val="000A22DB"/>
    <w:rsid w:val="000B2499"/>
    <w:rsid w:val="000C1845"/>
    <w:rsid w:val="000D348B"/>
    <w:rsid w:val="000D6A23"/>
    <w:rsid w:val="00103A8D"/>
    <w:rsid w:val="00115EEC"/>
    <w:rsid w:val="001260B7"/>
    <w:rsid w:val="00136B0D"/>
    <w:rsid w:val="00160290"/>
    <w:rsid w:val="00166793"/>
    <w:rsid w:val="00175BB7"/>
    <w:rsid w:val="0018234A"/>
    <w:rsid w:val="001915A1"/>
    <w:rsid w:val="00193418"/>
    <w:rsid w:val="00196EA5"/>
    <w:rsid w:val="001A7FE6"/>
    <w:rsid w:val="001B4C8E"/>
    <w:rsid w:val="001B5044"/>
    <w:rsid w:val="001C3803"/>
    <w:rsid w:val="001C3F61"/>
    <w:rsid w:val="001D5CF3"/>
    <w:rsid w:val="001F16BE"/>
    <w:rsid w:val="001F212A"/>
    <w:rsid w:val="00210C67"/>
    <w:rsid w:val="002133E5"/>
    <w:rsid w:val="0024696A"/>
    <w:rsid w:val="002769C4"/>
    <w:rsid w:val="002B3E65"/>
    <w:rsid w:val="002F51AC"/>
    <w:rsid w:val="002F66BD"/>
    <w:rsid w:val="0031037C"/>
    <w:rsid w:val="00313EBC"/>
    <w:rsid w:val="003152BD"/>
    <w:rsid w:val="00325814"/>
    <w:rsid w:val="00331F42"/>
    <w:rsid w:val="00345E7E"/>
    <w:rsid w:val="00355E41"/>
    <w:rsid w:val="003702A0"/>
    <w:rsid w:val="003732C8"/>
    <w:rsid w:val="00380BAA"/>
    <w:rsid w:val="0038382E"/>
    <w:rsid w:val="00383D99"/>
    <w:rsid w:val="00384194"/>
    <w:rsid w:val="00394D6B"/>
    <w:rsid w:val="003B4E51"/>
    <w:rsid w:val="003C384A"/>
    <w:rsid w:val="003C7A45"/>
    <w:rsid w:val="00413897"/>
    <w:rsid w:val="00423C19"/>
    <w:rsid w:val="004424E8"/>
    <w:rsid w:val="00466243"/>
    <w:rsid w:val="00466845"/>
    <w:rsid w:val="004875EB"/>
    <w:rsid w:val="004975D5"/>
    <w:rsid w:val="00497BFC"/>
    <w:rsid w:val="004C1280"/>
    <w:rsid w:val="004C289D"/>
    <w:rsid w:val="004F5E27"/>
    <w:rsid w:val="005142FA"/>
    <w:rsid w:val="00527733"/>
    <w:rsid w:val="0053268D"/>
    <w:rsid w:val="00560EB5"/>
    <w:rsid w:val="005633CB"/>
    <w:rsid w:val="0058559E"/>
    <w:rsid w:val="005D4F71"/>
    <w:rsid w:val="005D7EAF"/>
    <w:rsid w:val="005E0624"/>
    <w:rsid w:val="0061433F"/>
    <w:rsid w:val="006545BB"/>
    <w:rsid w:val="00665CDB"/>
    <w:rsid w:val="006734DC"/>
    <w:rsid w:val="006835A9"/>
    <w:rsid w:val="00693CB5"/>
    <w:rsid w:val="006C09FB"/>
    <w:rsid w:val="006D00BD"/>
    <w:rsid w:val="006D3CEC"/>
    <w:rsid w:val="006D5E62"/>
    <w:rsid w:val="006E4DE8"/>
    <w:rsid w:val="0070428B"/>
    <w:rsid w:val="00711ACD"/>
    <w:rsid w:val="00724955"/>
    <w:rsid w:val="007254B5"/>
    <w:rsid w:val="0074588B"/>
    <w:rsid w:val="00745DDD"/>
    <w:rsid w:val="00746466"/>
    <w:rsid w:val="00753CD1"/>
    <w:rsid w:val="00781AF0"/>
    <w:rsid w:val="00786EDE"/>
    <w:rsid w:val="007875CD"/>
    <w:rsid w:val="007B52EA"/>
    <w:rsid w:val="007D12CA"/>
    <w:rsid w:val="007D3B2F"/>
    <w:rsid w:val="007D630F"/>
    <w:rsid w:val="007E0D6B"/>
    <w:rsid w:val="007E6B9F"/>
    <w:rsid w:val="007E6E47"/>
    <w:rsid w:val="008127B4"/>
    <w:rsid w:val="00823974"/>
    <w:rsid w:val="0083404A"/>
    <w:rsid w:val="00842B41"/>
    <w:rsid w:val="00856599"/>
    <w:rsid w:val="00882A3F"/>
    <w:rsid w:val="008A7E03"/>
    <w:rsid w:val="008B33B1"/>
    <w:rsid w:val="008C785B"/>
    <w:rsid w:val="008D2F65"/>
    <w:rsid w:val="008D5377"/>
    <w:rsid w:val="008E5E25"/>
    <w:rsid w:val="00900A5B"/>
    <w:rsid w:val="0091028A"/>
    <w:rsid w:val="0093613E"/>
    <w:rsid w:val="00975ECA"/>
    <w:rsid w:val="0098053C"/>
    <w:rsid w:val="00981E93"/>
    <w:rsid w:val="009A29A7"/>
    <w:rsid w:val="009B660A"/>
    <w:rsid w:val="009C7CE7"/>
    <w:rsid w:val="009D1883"/>
    <w:rsid w:val="009D21BB"/>
    <w:rsid w:val="00A22FC1"/>
    <w:rsid w:val="00A30621"/>
    <w:rsid w:val="00A42D2D"/>
    <w:rsid w:val="00A43591"/>
    <w:rsid w:val="00A47E98"/>
    <w:rsid w:val="00A63D7F"/>
    <w:rsid w:val="00A7381A"/>
    <w:rsid w:val="00A76F6F"/>
    <w:rsid w:val="00A81560"/>
    <w:rsid w:val="00AB6095"/>
    <w:rsid w:val="00AC569D"/>
    <w:rsid w:val="00AD03F7"/>
    <w:rsid w:val="00AD747D"/>
    <w:rsid w:val="00AF29F9"/>
    <w:rsid w:val="00B01341"/>
    <w:rsid w:val="00B0144D"/>
    <w:rsid w:val="00B14267"/>
    <w:rsid w:val="00B353E5"/>
    <w:rsid w:val="00B51C96"/>
    <w:rsid w:val="00B63039"/>
    <w:rsid w:val="00B7406B"/>
    <w:rsid w:val="00B74619"/>
    <w:rsid w:val="00B82A10"/>
    <w:rsid w:val="00B82CED"/>
    <w:rsid w:val="00B97765"/>
    <w:rsid w:val="00BD4CF9"/>
    <w:rsid w:val="00BD78FB"/>
    <w:rsid w:val="00BF2809"/>
    <w:rsid w:val="00C2100D"/>
    <w:rsid w:val="00C258E8"/>
    <w:rsid w:val="00C31E40"/>
    <w:rsid w:val="00C41533"/>
    <w:rsid w:val="00C43358"/>
    <w:rsid w:val="00C54EA7"/>
    <w:rsid w:val="00C56465"/>
    <w:rsid w:val="00C743A3"/>
    <w:rsid w:val="00C85C6D"/>
    <w:rsid w:val="00C97E7F"/>
    <w:rsid w:val="00D24639"/>
    <w:rsid w:val="00D32CC0"/>
    <w:rsid w:val="00D74586"/>
    <w:rsid w:val="00D84546"/>
    <w:rsid w:val="00DA002C"/>
    <w:rsid w:val="00DD194E"/>
    <w:rsid w:val="00DD3DDB"/>
    <w:rsid w:val="00DD7DB9"/>
    <w:rsid w:val="00E224BD"/>
    <w:rsid w:val="00E2759B"/>
    <w:rsid w:val="00E30627"/>
    <w:rsid w:val="00E45A9C"/>
    <w:rsid w:val="00E50D02"/>
    <w:rsid w:val="00E74639"/>
    <w:rsid w:val="00E9659A"/>
    <w:rsid w:val="00EB7745"/>
    <w:rsid w:val="00ED1B47"/>
    <w:rsid w:val="00F0109D"/>
    <w:rsid w:val="00F16E4B"/>
    <w:rsid w:val="00F32DB5"/>
    <w:rsid w:val="00F33B17"/>
    <w:rsid w:val="00F45B42"/>
    <w:rsid w:val="00F54AE9"/>
    <w:rsid w:val="00F75185"/>
    <w:rsid w:val="00F85286"/>
    <w:rsid w:val="00FA1409"/>
    <w:rsid w:val="00FB1F61"/>
    <w:rsid w:val="00FF1217"/>
    <w:rsid w:val="00FF61CA"/>
    <w:rsid w:val="01C44923"/>
    <w:rsid w:val="08826623"/>
    <w:rsid w:val="09E67744"/>
    <w:rsid w:val="0CCD460E"/>
    <w:rsid w:val="0F905413"/>
    <w:rsid w:val="11E467E9"/>
    <w:rsid w:val="1444244B"/>
    <w:rsid w:val="14EA645D"/>
    <w:rsid w:val="19181A3A"/>
    <w:rsid w:val="20C2156A"/>
    <w:rsid w:val="216E14AA"/>
    <w:rsid w:val="217D3E57"/>
    <w:rsid w:val="225D796E"/>
    <w:rsid w:val="24EC6623"/>
    <w:rsid w:val="2A98798D"/>
    <w:rsid w:val="2BBD3669"/>
    <w:rsid w:val="2DD51314"/>
    <w:rsid w:val="2E16582B"/>
    <w:rsid w:val="2E4116FA"/>
    <w:rsid w:val="31262BAF"/>
    <w:rsid w:val="330F093A"/>
    <w:rsid w:val="34E37CA8"/>
    <w:rsid w:val="359E47FF"/>
    <w:rsid w:val="35B72FCB"/>
    <w:rsid w:val="35DA3E68"/>
    <w:rsid w:val="36E674AE"/>
    <w:rsid w:val="379A3E49"/>
    <w:rsid w:val="391E61C3"/>
    <w:rsid w:val="3F3D735A"/>
    <w:rsid w:val="40D519B8"/>
    <w:rsid w:val="416D2207"/>
    <w:rsid w:val="43D031FE"/>
    <w:rsid w:val="43EC12FF"/>
    <w:rsid w:val="44366C11"/>
    <w:rsid w:val="44E509D4"/>
    <w:rsid w:val="46825CD1"/>
    <w:rsid w:val="4ADD1BA1"/>
    <w:rsid w:val="4B0853C3"/>
    <w:rsid w:val="4DC0511E"/>
    <w:rsid w:val="4FAC5BC3"/>
    <w:rsid w:val="4FC61FF0"/>
    <w:rsid w:val="50846203"/>
    <w:rsid w:val="538763B9"/>
    <w:rsid w:val="540463E4"/>
    <w:rsid w:val="553E5E80"/>
    <w:rsid w:val="55DC546E"/>
    <w:rsid w:val="579C3951"/>
    <w:rsid w:val="57F90679"/>
    <w:rsid w:val="596D6B7C"/>
    <w:rsid w:val="5CEC747F"/>
    <w:rsid w:val="5DDA4712"/>
    <w:rsid w:val="66202ABE"/>
    <w:rsid w:val="66441755"/>
    <w:rsid w:val="66CF713B"/>
    <w:rsid w:val="683F6E19"/>
    <w:rsid w:val="68961ACE"/>
    <w:rsid w:val="69C166FE"/>
    <w:rsid w:val="6AE467D8"/>
    <w:rsid w:val="6C656215"/>
    <w:rsid w:val="6D9745DB"/>
    <w:rsid w:val="726141AB"/>
    <w:rsid w:val="7406451D"/>
    <w:rsid w:val="756A3232"/>
    <w:rsid w:val="77DF544D"/>
    <w:rsid w:val="783458C3"/>
    <w:rsid w:val="7A1E0C67"/>
    <w:rsid w:val="7B044DE1"/>
    <w:rsid w:val="7DD76804"/>
    <w:rsid w:val="7E3037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8"/>
    <w:autoRedefine/>
    <w:qFormat/>
    <w:uiPriority w:val="99"/>
    <w:pPr>
      <w:keepNext/>
      <w:keepLines/>
      <w:spacing w:line="600" w:lineRule="exact"/>
      <w:jc w:val="center"/>
      <w:outlineLvl w:val="0"/>
    </w:pPr>
    <w:rPr>
      <w:rFonts w:ascii="Calibri" w:hAnsi="Calibri"/>
      <w:kern w:val="44"/>
      <w:sz w:val="44"/>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link w:val="17"/>
    <w:autoRedefine/>
    <w:qFormat/>
    <w:uiPriority w:val="0"/>
    <w:pPr>
      <w:jc w:val="left"/>
    </w:pPr>
    <w:rPr>
      <w:rFonts w:ascii="Calibri" w:hAnsi="Calibri"/>
    </w:rPr>
  </w:style>
  <w:style w:type="paragraph" w:styleId="4">
    <w:name w:val="Body Text"/>
    <w:basedOn w:val="1"/>
    <w:next w:val="5"/>
    <w:link w:val="20"/>
    <w:unhideWhenUsed/>
    <w:qFormat/>
    <w:uiPriority w:val="99"/>
    <w:pPr>
      <w:spacing w:after="120"/>
    </w:pPr>
  </w:style>
  <w:style w:type="paragraph" w:styleId="5">
    <w:name w:val="Plain Text"/>
    <w:basedOn w:val="1"/>
    <w:autoRedefine/>
    <w:unhideWhenUsed/>
    <w:qFormat/>
    <w:uiPriority w:val="99"/>
    <w:rPr>
      <w:rFonts w:ascii="宋体" w:hAnsi="Courier New"/>
      <w:kern w:val="0"/>
      <w:sz w:val="20"/>
    </w:rPr>
  </w:style>
  <w:style w:type="paragraph" w:styleId="6">
    <w:name w:val="Body Text Indent"/>
    <w:basedOn w:val="1"/>
    <w:unhideWhenUsed/>
    <w:qFormat/>
    <w:uiPriority w:val="0"/>
    <w:pPr>
      <w:spacing w:after="120"/>
      <w:ind w:left="420" w:leftChars="200"/>
    </w:pPr>
  </w:style>
  <w:style w:type="paragraph" w:styleId="7">
    <w:name w:val="Balloon Text"/>
    <w:basedOn w:val="1"/>
    <w:link w:val="19"/>
    <w:qFormat/>
    <w:uiPriority w:val="0"/>
    <w:rPr>
      <w:sz w:val="18"/>
      <w:szCs w:val="18"/>
    </w:r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0">
    <w:name w:val="Title"/>
    <w:basedOn w:val="1"/>
    <w:next w:val="1"/>
    <w:autoRedefine/>
    <w:qFormat/>
    <w:uiPriority w:val="0"/>
    <w:pPr>
      <w:spacing w:before="240" w:after="60"/>
      <w:jc w:val="center"/>
      <w:outlineLvl w:val="0"/>
    </w:pPr>
    <w:rPr>
      <w:rFonts w:ascii="Cambria" w:hAnsi="Cambria"/>
      <w:b/>
      <w:bCs/>
      <w:kern w:val="0"/>
      <w:sz w:val="32"/>
      <w:szCs w:val="32"/>
    </w:rPr>
  </w:style>
  <w:style w:type="paragraph" w:styleId="11">
    <w:name w:val="Body Text First Indent 2"/>
    <w:basedOn w:val="6"/>
    <w:autoRedefine/>
    <w:qFormat/>
    <w:uiPriority w:val="99"/>
    <w:pPr>
      <w:adjustRightInd w:val="0"/>
      <w:spacing w:after="0" w:line="312" w:lineRule="atLeast"/>
      <w:ind w:left="1296" w:leftChars="0"/>
      <w:textAlignment w:val="baseline"/>
    </w:pPr>
    <w:rPr>
      <w:rFonts w:eastAsia="仿宋_GB2312"/>
      <w:kern w:val="21"/>
      <w:sz w:val="32"/>
    </w:rPr>
  </w:style>
  <w:style w:type="paragraph" w:customStyle="1" w:styleId="14">
    <w:name w:val="列出段落11"/>
    <w:basedOn w:val="1"/>
    <w:autoRedefine/>
    <w:qFormat/>
    <w:uiPriority w:val="99"/>
    <w:pPr>
      <w:ind w:firstLine="420" w:firstLineChars="200"/>
    </w:pPr>
  </w:style>
  <w:style w:type="paragraph" w:customStyle="1" w:styleId="15">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6">
    <w:name w:val="列出段落1"/>
    <w:basedOn w:val="1"/>
    <w:autoRedefine/>
    <w:qFormat/>
    <w:uiPriority w:val="34"/>
    <w:pPr>
      <w:ind w:firstLine="420" w:firstLineChars="200"/>
    </w:pPr>
  </w:style>
  <w:style w:type="character" w:customStyle="1" w:styleId="17">
    <w:name w:val="批注文字 Char"/>
    <w:basedOn w:val="13"/>
    <w:link w:val="3"/>
    <w:autoRedefine/>
    <w:qFormat/>
    <w:uiPriority w:val="0"/>
    <w:rPr>
      <w:rFonts w:cs="Times New Roman"/>
      <w:kern w:val="2"/>
      <w:sz w:val="21"/>
    </w:rPr>
  </w:style>
  <w:style w:type="character" w:customStyle="1" w:styleId="18">
    <w:name w:val="标题 1 Char"/>
    <w:basedOn w:val="13"/>
    <w:link w:val="2"/>
    <w:qFormat/>
    <w:uiPriority w:val="99"/>
    <w:rPr>
      <w:rFonts w:cs="Times New Roman"/>
      <w:kern w:val="44"/>
      <w:sz w:val="44"/>
    </w:rPr>
  </w:style>
  <w:style w:type="character" w:customStyle="1" w:styleId="19">
    <w:name w:val="批注框文本 Char"/>
    <w:basedOn w:val="13"/>
    <w:link w:val="7"/>
    <w:autoRedefine/>
    <w:qFormat/>
    <w:uiPriority w:val="0"/>
    <w:rPr>
      <w:rFonts w:ascii="Times New Roman" w:hAnsi="Times New Roman" w:cs="Times New Roman"/>
      <w:kern w:val="2"/>
      <w:sz w:val="18"/>
      <w:szCs w:val="18"/>
    </w:rPr>
  </w:style>
  <w:style w:type="character" w:customStyle="1" w:styleId="20">
    <w:name w:val="正文文本 Char"/>
    <w:basedOn w:val="13"/>
    <w:link w:val="4"/>
    <w:autoRedefine/>
    <w:qFormat/>
    <w:uiPriority w:val="99"/>
    <w:rPr>
      <w:rFonts w:ascii="Times New Roman" w:hAnsi="Times New Roman" w:cs="Times New Roman"/>
      <w:kern w:val="2"/>
      <w:sz w:val="21"/>
    </w:rPr>
  </w:style>
  <w:style w:type="character" w:customStyle="1" w:styleId="21">
    <w:name w:val="font61"/>
    <w:basedOn w:val="13"/>
    <w:autoRedefine/>
    <w:qFormat/>
    <w:uiPriority w:val="0"/>
    <w:rPr>
      <w:rFonts w:hint="eastAsia" w:ascii="宋体" w:hAnsi="宋体" w:eastAsia="宋体" w:cs="宋体"/>
      <w:color w:val="000000"/>
      <w:sz w:val="20"/>
      <w:szCs w:val="20"/>
      <w:u w:val="none"/>
      <w:vertAlign w:val="superscript"/>
    </w:rPr>
  </w:style>
  <w:style w:type="character" w:customStyle="1" w:styleId="22">
    <w:name w:val="font31"/>
    <w:basedOn w:val="13"/>
    <w:autoRedefine/>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3651D52-5482-4D8F-9D8D-E0CE20DA4C2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20</Pages>
  <Words>6990</Words>
  <Characters>7437</Characters>
  <Lines>58</Lines>
  <Paragraphs>16</Paragraphs>
  <TotalTime>0</TotalTime>
  <ScaleCrop>false</ScaleCrop>
  <LinksUpToDate>false</LinksUpToDate>
  <CharactersWithSpaces>7800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2023-08-10T06:55:00Z</dcterms:created>
  <dc:creator>Administrator</dc:creator>
  <cp:lastModifiedBy>admin</cp:lastModifiedBy>
  <cp:lastPrinted>2023-10-13T01:15:00Z</cp:lastPrinted>
  <dcterms:modified xsi:type="dcterms:W3CDTF">2024-05-14T03:08:43Z</dcterms:modified>
  <dc:title>镇江海纳川物流产业发展有限责任公司</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E617128971214F11A0A6819B265D0306</vt:lpwstr>
  </property>
</Properties>
</file>