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20240510港口卸船机压绳轮采购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2024年5月21日下午15:20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2024年5月21日下午15:20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938"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12"/>
        <w:gridCol w:w="2725"/>
        <w:gridCol w:w="1538"/>
        <w:gridCol w:w="562"/>
        <w:gridCol w:w="543"/>
        <w:gridCol w:w="1032"/>
        <w:gridCol w:w="1088"/>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1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4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59"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8"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98"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压绳轮</w:t>
            </w:r>
          </w:p>
        </w:tc>
        <w:tc>
          <w:tcPr>
            <w:tcW w:w="1346" w:type="pct"/>
            <w:vAlign w:val="center"/>
          </w:tcPr>
          <w:p>
            <w:pPr>
              <w:jc w:val="left"/>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外径180mm 见附图 尼龙</w:t>
            </w:r>
          </w:p>
        </w:tc>
        <w:tc>
          <w:tcPr>
            <w:tcW w:w="759"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277"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6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20 </w:t>
            </w:r>
          </w:p>
        </w:tc>
        <w:tc>
          <w:tcPr>
            <w:tcW w:w="50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3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3" w:type="pct"/>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r>
        <w:rPr>
          <w:rFonts w:hint="eastAsia" w:ascii="方正仿宋简体" w:hAnsi="方正仿宋简体" w:eastAsia="方正仿宋简体" w:cs="方正仿宋简体"/>
          <w:b w:val="0"/>
          <w:bCs w:val="0"/>
          <w:kern w:val="1"/>
          <w:lang w:val="en-US" w:eastAsia="zh-CN"/>
        </w:rPr>
        <w:t>附图：</w:t>
      </w:r>
    </w:p>
    <w:p>
      <w:r>
        <w:drawing>
          <wp:inline distT="0" distB="0" distL="114300" distR="114300">
            <wp:extent cx="5270500" cy="6142990"/>
            <wp:effectExtent l="0" t="0" r="635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0500" cy="6142990"/>
                    </a:xfrm>
                    <a:prstGeom prst="rect">
                      <a:avLst/>
                    </a:prstGeom>
                    <a:noFill/>
                    <a:ln>
                      <a:noFill/>
                    </a:ln>
                  </pic:spPr>
                </pic:pic>
              </a:graphicData>
            </a:graphic>
          </wp:inline>
        </w:drawing>
      </w:r>
    </w:p>
    <w:p>
      <w:pPr>
        <w:rPr>
          <w:rFonts w:hint="default"/>
          <w:lang w:val="en-US" w:eastAsia="zh-CN"/>
        </w:rPr>
      </w:pPr>
    </w:p>
    <w:p>
      <w:pPr>
        <w:rPr>
          <w:rFonts w:hint="eastAsia"/>
        </w:rPr>
      </w:pPr>
      <w:r>
        <w:drawing>
          <wp:inline distT="0" distB="0" distL="114300" distR="114300">
            <wp:extent cx="2566670" cy="3212465"/>
            <wp:effectExtent l="0" t="0" r="5080" b="698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2566670" cy="321246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610485" cy="3216910"/>
            <wp:effectExtent l="0" t="0" r="18415" b="254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2610485" cy="3216910"/>
                    </a:xfrm>
                    <a:prstGeom prst="rect">
                      <a:avLst/>
                    </a:prstGeom>
                    <a:noFill/>
                    <a:ln>
                      <a:noFill/>
                    </a:ln>
                  </pic:spPr>
                </pic:pic>
              </a:graphicData>
            </a:graphic>
          </wp:inline>
        </w:drawing>
      </w:r>
    </w:p>
    <w:p>
      <w:pPr>
        <w:rPr>
          <w:rFonts w:hint="eastAsia"/>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5695C45"/>
    <w:rsid w:val="18927BC8"/>
    <w:rsid w:val="19181A3A"/>
    <w:rsid w:val="216E14AA"/>
    <w:rsid w:val="225D796E"/>
    <w:rsid w:val="24EC6623"/>
    <w:rsid w:val="28317393"/>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ECF13A2"/>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5F072ED8"/>
    <w:rsid w:val="66202ABE"/>
    <w:rsid w:val="66441755"/>
    <w:rsid w:val="66CF713B"/>
    <w:rsid w:val="683F6E19"/>
    <w:rsid w:val="68961ACE"/>
    <w:rsid w:val="69831495"/>
    <w:rsid w:val="69C166FE"/>
    <w:rsid w:val="6AE467D8"/>
    <w:rsid w:val="6D9745DB"/>
    <w:rsid w:val="726141AB"/>
    <w:rsid w:val="7406451D"/>
    <w:rsid w:val="756A3232"/>
    <w:rsid w:val="77DF544D"/>
    <w:rsid w:val="783458C3"/>
    <w:rsid w:val="78BD5673"/>
    <w:rsid w:val="7A1E0C67"/>
    <w:rsid w:val="7B044DE1"/>
    <w:rsid w:val="7DC118B5"/>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6411</Words>
  <Characters>6749</Characters>
  <Lines>52</Lines>
  <Paragraphs>14</Paragraphs>
  <TotalTime>0</TotalTime>
  <ScaleCrop>false</ScaleCrop>
  <LinksUpToDate>false</LinksUpToDate>
  <CharactersWithSpaces>7013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2024-05-14T05:46:00Z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