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20240611港口围油栏采购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2024年6月20日上午10:20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2024年6月20日上午10:20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hint="default"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 xml:space="preserve"> </w:t>
      </w:r>
      <w:r>
        <w:rPr>
          <w:rFonts w:hint="eastAsia" w:ascii="方正仿宋简体" w:hAnsi="方正仿宋简体" w:eastAsia="方正仿宋简体" w:cs="方正仿宋简体"/>
          <w:color w:val="FF0000"/>
          <w:kern w:val="1"/>
          <w:sz w:val="32"/>
          <w:szCs w:val="32"/>
        </w:rPr>
        <w:t>投标方应根据我公司需求提供厂家验货，验货合格方可签订采购合同并送货至指定地点。</w:t>
      </w:r>
    </w:p>
    <w:p>
      <w:pPr>
        <w:wordWrap w:val="0"/>
        <w:ind w:firstLine="640" w:firstLineChars="200"/>
        <w:jc w:val="left"/>
        <w:rPr>
          <w:rFonts w:hint="eastAsia" w:ascii="方正仿宋简体" w:hAnsi="方正仿宋简体" w:eastAsia="方正黑体_GBK" w:cs="方正仿宋简体"/>
          <w:bCs/>
          <w:sz w:val="32"/>
          <w:szCs w:val="32"/>
          <w:lang w:val="en-US" w:eastAsia="zh-CN"/>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lang w:val="en-US" w:eastAsia="zh-CN"/>
        </w:rPr>
        <w:t xml:space="preserve"> </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ind w:left="1270" w:leftChars="300" w:hanging="640" w:hanging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中标单位发货前需通知招标方验货，招标方根据</w:t>
      </w:r>
    </w:p>
    <w:p>
      <w:pPr>
        <w:jc w:val="left"/>
        <w:rPr>
          <w:rFonts w:ascii="方正楷体_GBK" w:hAnsi="方正楷体_GBK" w:eastAsia="方正楷体_GBK" w:cs="方正楷体_GBK"/>
          <w:sz w:val="32"/>
          <w:szCs w:val="32"/>
        </w:rPr>
      </w:pPr>
      <w:r>
        <w:rPr>
          <w:rFonts w:hint="eastAsia" w:ascii="方正仿宋简体" w:hAnsi="方正仿宋简体" w:eastAsia="方正仿宋简体" w:cs="方正仿宋简体"/>
          <w:bCs/>
          <w:sz w:val="32"/>
          <w:szCs w:val="32"/>
        </w:rPr>
        <w:t>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tbl>
      <w:tblPr>
        <w:tblStyle w:val="12"/>
        <w:tblpPr w:leftFromText="180" w:rightFromText="180" w:vertAnchor="text" w:horzAnchor="page" w:tblpX="1474" w:tblpY="595"/>
        <w:tblOverlap w:val="never"/>
        <w:tblW w:w="55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19"/>
        <w:gridCol w:w="1238"/>
        <w:gridCol w:w="2066"/>
        <w:gridCol w:w="622"/>
        <w:gridCol w:w="949"/>
        <w:gridCol w:w="1025"/>
        <w:gridCol w:w="1013"/>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8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09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3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0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4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3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286"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 xml:space="preserve">1 </w:t>
            </w:r>
          </w:p>
        </w:tc>
        <w:tc>
          <w:tcPr>
            <w:tcW w:w="595" w:type="pct"/>
            <w:vAlign w:val="center"/>
          </w:tcPr>
          <w:p>
            <w:pPr>
              <w:keepNext w:val="0"/>
              <w:keepLines w:val="0"/>
              <w:widowControl/>
              <w:suppressLineNumbers w:val="0"/>
              <w:jc w:val="left"/>
              <w:textAlignment w:val="center"/>
              <w:rPr>
                <w:rFonts w:hint="default" w:ascii="宋体" w:hAnsi="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围油栏</w:t>
            </w:r>
          </w:p>
        </w:tc>
        <w:tc>
          <w:tcPr>
            <w:tcW w:w="658" w:type="pct"/>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宋体" w:hAnsi="宋体" w:eastAsia="宋体" w:cs="宋体"/>
                <w:i w:val="0"/>
                <w:iCs w:val="0"/>
                <w:color w:val="000000"/>
                <w:kern w:val="0"/>
                <w:sz w:val="18"/>
                <w:szCs w:val="18"/>
                <w:u w:val="none"/>
                <w:lang w:val="en-US" w:eastAsia="zh-CN" w:bidi="ar"/>
              </w:rPr>
              <w:t>WGJ1000mm</w:t>
            </w:r>
          </w:p>
        </w:tc>
        <w:tc>
          <w:tcPr>
            <w:tcW w:w="1099" w:type="pct"/>
            <w:vAlign w:val="center"/>
          </w:tcPr>
          <w:p>
            <w:pPr>
              <w:spacing w:before="156" w:after="156"/>
              <w:jc w:val="center"/>
              <w:rPr>
                <w:rStyle w:val="23"/>
                <w:rFonts w:ascii="宋体" w:hAnsi="宋体"/>
                <w:b/>
                <w:sz w:val="52"/>
                <w:szCs w:val="52"/>
              </w:rPr>
            </w:pPr>
            <w:r>
              <w:rPr>
                <w:rFonts w:hint="eastAsia"/>
                <w:color w:val="000000"/>
                <w:sz w:val="18"/>
                <w:szCs w:val="18"/>
              </w:rPr>
              <w:t>详见：</w:t>
            </w:r>
            <w:r>
              <w:rPr>
                <w:color w:val="000000"/>
                <w:sz w:val="18"/>
                <w:szCs w:val="18"/>
              </w:rPr>
              <w:t>WGJ1000固体浮子式橡胶围油栏及附件技术规格书</w:t>
            </w:r>
          </w:p>
          <w:p>
            <w:pPr>
              <w:rPr>
                <w:rFonts w:hint="eastAsia" w:ascii="宋体" w:hAnsi="宋体" w:eastAsia="宋体" w:cs="宋体"/>
                <w:color w:val="000000"/>
                <w:kern w:val="2"/>
                <w:sz w:val="18"/>
                <w:szCs w:val="18"/>
                <w:lang w:val="en-US" w:eastAsia="zh-CN" w:bidi="ar-SA"/>
              </w:rPr>
            </w:pPr>
          </w:p>
        </w:tc>
        <w:tc>
          <w:tcPr>
            <w:tcW w:w="330"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米</w:t>
            </w:r>
          </w:p>
        </w:tc>
        <w:tc>
          <w:tcPr>
            <w:tcW w:w="505" w:type="pct"/>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 xml:space="preserve">200 </w:t>
            </w:r>
          </w:p>
        </w:tc>
        <w:tc>
          <w:tcPr>
            <w:tcW w:w="545" w:type="pct"/>
            <w:vAlign w:val="center"/>
          </w:tcPr>
          <w:p>
            <w:pPr>
              <w:widowControl/>
              <w:spacing w:line="0" w:lineRule="atLeast"/>
              <w:jc w:val="center"/>
              <w:rPr>
                <w:rFonts w:ascii="方正仿宋简体" w:hAnsi="方正仿宋简体" w:eastAsia="方正仿宋简体" w:cs="方正仿宋简体"/>
                <w:szCs w:val="21"/>
              </w:rPr>
            </w:pPr>
          </w:p>
        </w:tc>
        <w:tc>
          <w:tcPr>
            <w:tcW w:w="539" w:type="pct"/>
            <w:vAlign w:val="center"/>
          </w:tcPr>
          <w:p>
            <w:pPr>
              <w:widowControl/>
              <w:spacing w:line="0" w:lineRule="atLeast"/>
              <w:jc w:val="center"/>
              <w:rPr>
                <w:rFonts w:ascii="方正仿宋简体" w:hAnsi="方正仿宋简体" w:eastAsia="方正仿宋简体" w:cs="方正仿宋简体"/>
                <w:szCs w:val="21"/>
              </w:rPr>
            </w:pPr>
          </w:p>
        </w:tc>
        <w:tc>
          <w:tcPr>
            <w:tcW w:w="439" w:type="pct"/>
            <w:vAlign w:val="center"/>
          </w:tcPr>
          <w:p>
            <w:pPr>
              <w:widowControl/>
              <w:spacing w:line="0" w:lineRule="atLeast"/>
              <w:jc w:val="center"/>
              <w:rPr>
                <w:rFonts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spacing w:before="156" w:after="156"/>
        <w:rPr>
          <w:rStyle w:val="23"/>
          <w:rFonts w:ascii="宋体" w:hAnsi="宋体"/>
          <w:b/>
          <w:sz w:val="30"/>
          <w:szCs w:val="30"/>
        </w:rPr>
      </w:pPr>
      <w:r>
        <w:rPr>
          <w:rStyle w:val="23"/>
          <w:rFonts w:hint="eastAsia" w:ascii="宋体"/>
          <w:b/>
          <w:sz w:val="36"/>
          <w:szCs w:val="36"/>
        </w:rPr>
        <w:t>附：</w:t>
      </w:r>
      <w:r>
        <w:rPr>
          <w:rStyle w:val="23"/>
          <w:rFonts w:ascii="宋体" w:hAnsi="宋体"/>
          <w:b/>
          <w:sz w:val="30"/>
          <w:szCs w:val="30"/>
        </w:rPr>
        <w:t>WGJ1000固体浮子式橡胶围油栏及附件技术规格书</w:t>
      </w:r>
    </w:p>
    <w:p>
      <w:pPr>
        <w:pStyle w:val="24"/>
        <w:rPr>
          <w:rStyle w:val="23"/>
        </w:rPr>
      </w:pPr>
      <w:r>
        <w:rPr>
          <w:rStyle w:val="23"/>
        </w:rPr>
        <w:t>一、WGJ1000固体浮子式橡胶围油栏</w:t>
      </w:r>
    </w:p>
    <w:p>
      <w:pPr>
        <w:pStyle w:val="25"/>
        <w:spacing w:before="0"/>
        <w:rPr>
          <w:rStyle w:val="23"/>
        </w:rPr>
      </w:pPr>
      <w:r>
        <w:rPr>
          <w:rStyle w:val="23"/>
        </w:rPr>
        <w:t>1.1 简介</w:t>
      </w:r>
    </w:p>
    <w:p>
      <w:pPr>
        <w:tabs>
          <w:tab w:val="left" w:pos="9213"/>
        </w:tabs>
        <w:spacing w:line="360" w:lineRule="auto"/>
        <w:rPr>
          <w:rStyle w:val="23"/>
          <w:rFonts w:ascii="宋体" w:hAnsi="MS Sans Serif"/>
          <w:sz w:val="24"/>
          <w:szCs w:val="24"/>
        </w:rPr>
      </w:pPr>
      <w:r>
        <w:rPr>
          <w:rStyle w:val="23"/>
          <w:rFonts w:ascii="宋体" w:hAnsi="MS Sans Serif"/>
          <w:sz w:val="24"/>
          <w:szCs w:val="24"/>
        </w:rPr>
        <w:t xml:space="preserve">    围油栏是一种防止水域污染的必备器材。处理水域油污染的一般方法是先用围油栏把浮油围起来，避免其扩散、漂移，并尽可能的使其浓集，然后用适当的物理方法尽可能地予以回收，最后对其残剩的难以回收的部分用化学、物理或生物的方法清除。</w:t>
      </w:r>
    </w:p>
    <w:p>
      <w:pPr>
        <w:spacing w:line="360" w:lineRule="auto"/>
        <w:ind w:firstLine="480" w:firstLineChars="200"/>
        <w:rPr>
          <w:rStyle w:val="23"/>
          <w:rFonts w:ascii="宋体" w:hAnsi="宋体"/>
          <w:bCs/>
          <w:sz w:val="24"/>
          <w:szCs w:val="24"/>
        </w:rPr>
      </w:pPr>
      <w:r>
        <w:rPr>
          <w:rStyle w:val="23"/>
          <w:rFonts w:ascii="宋体" w:hAnsi="宋体"/>
          <w:sz w:val="24"/>
          <w:szCs w:val="24"/>
        </w:rPr>
        <w:t>WGJ1100固体浮子式橡胶围油栏，它的本体</w:t>
      </w:r>
      <w:r>
        <w:rPr>
          <w:rStyle w:val="23"/>
          <w:rFonts w:ascii="宋体" w:hAnsi="宋体"/>
          <w:bCs/>
          <w:sz w:val="24"/>
          <w:szCs w:val="24"/>
        </w:rPr>
        <w:t>是由</w:t>
      </w:r>
      <w:r>
        <w:rPr>
          <w:rStyle w:val="23"/>
          <w:rFonts w:ascii="宋体" w:hAnsi="宋体"/>
          <w:sz w:val="24"/>
          <w:szCs w:val="24"/>
        </w:rPr>
        <w:t>高强度耐油氯丁橡胶布制成，</w:t>
      </w:r>
      <w:r>
        <w:rPr>
          <w:rStyle w:val="23"/>
          <w:rFonts w:ascii="宋体"/>
          <w:bCs/>
          <w:sz w:val="24"/>
          <w:szCs w:val="24"/>
        </w:rPr>
        <w:t>强度高、耐磨、耐油、耐候、阻燃。</w:t>
      </w:r>
      <w:r>
        <w:rPr>
          <w:rStyle w:val="23"/>
          <w:rFonts w:ascii="宋体" w:hAnsi="宋体"/>
          <w:sz w:val="24"/>
          <w:szCs w:val="24"/>
        </w:rPr>
        <w:t>它在工作中受到强大的拉</w:t>
      </w:r>
      <w:r>
        <w:rPr>
          <w:rStyle w:val="23"/>
          <w:rFonts w:ascii="宋体" w:hAnsi="MS Sans Serif"/>
          <w:sz w:val="24"/>
          <w:szCs w:val="24"/>
        </w:rPr>
        <w:t>力时，有较高的承载能力。围油栏每节之间采用压板及连接绳连接，操作方便。也可按用户要求配用其它接头.</w:t>
      </w:r>
    </w:p>
    <w:p>
      <w:pPr>
        <w:tabs>
          <w:tab w:val="left" w:pos="9213"/>
        </w:tabs>
        <w:spacing w:line="360" w:lineRule="auto"/>
        <w:ind w:firstLine="480" w:firstLineChars="200"/>
        <w:rPr>
          <w:rStyle w:val="23"/>
          <w:rFonts w:ascii="宋体" w:hAnsi="MS Sans Serif"/>
          <w:sz w:val="24"/>
          <w:szCs w:val="24"/>
        </w:rPr>
      </w:pPr>
      <w:r>
        <w:rPr>
          <w:rStyle w:val="23"/>
          <w:rFonts w:ascii="宋体" w:hAnsi="MS Sans Serif"/>
          <w:sz w:val="24"/>
          <w:szCs w:val="24"/>
        </w:rPr>
        <w:t>WGJ1000围油栏广泛适用于江、河、湖、海各类坏境，例如港口、港湾、近海钻井平台和船舶救难抢险、取水口等。可应急布放，也可长期固定布放。</w:t>
      </w:r>
    </w:p>
    <w:p>
      <w:pPr>
        <w:spacing w:line="360" w:lineRule="auto"/>
        <w:ind w:firstLine="480" w:firstLineChars="200"/>
        <w:rPr>
          <w:rStyle w:val="23"/>
          <w:rFonts w:ascii="宋体" w:hAnsi="MS Sans Serif"/>
          <w:sz w:val="24"/>
          <w:szCs w:val="24"/>
        </w:rPr>
      </w:pPr>
      <w:r>
        <w:rPr>
          <w:rStyle w:val="23"/>
          <w:rFonts w:ascii="宋体" w:hAnsi="MS Sans Serif"/>
          <w:sz w:val="24"/>
          <w:szCs w:val="24"/>
        </w:rPr>
        <w:t>按交通部标准JT/T465-2001《围油栏》设计生产加工制作检验。</w:t>
      </w:r>
    </w:p>
    <w:p>
      <w:pPr>
        <w:pStyle w:val="25"/>
        <w:spacing w:before="0"/>
        <w:rPr>
          <w:rStyle w:val="23"/>
        </w:rPr>
      </w:pPr>
      <w:r>
        <w:rPr>
          <w:rStyle w:val="23"/>
        </w:rPr>
        <w:t>1.2 结构</w:t>
      </w:r>
    </w:p>
    <w:p>
      <w:pPr>
        <w:tabs>
          <w:tab w:val="left" w:pos="9213"/>
        </w:tabs>
        <w:spacing w:line="360" w:lineRule="auto"/>
        <w:ind w:firstLine="539"/>
        <w:rPr>
          <w:rStyle w:val="23"/>
          <w:rFonts w:ascii="宋体" w:hAnsi="MS Sans Serif"/>
          <w:sz w:val="24"/>
          <w:szCs w:val="24"/>
        </w:rPr>
      </w:pPr>
      <w:r>
        <w:rPr>
          <w:rStyle w:val="23"/>
          <w:rFonts w:ascii="宋体" w:hAnsi="MS Sans Serif"/>
          <w:sz w:val="24"/>
          <w:szCs w:val="24"/>
        </w:rPr>
        <w:t>WGJ1000固体浮子式橡胶围油栏主要由橡胶本体、固体浮子、配重块、接头、固锚座、提把等几部分组成，如下图所示。</w:t>
      </w:r>
    </w:p>
    <w:p>
      <w:pPr>
        <w:tabs>
          <w:tab w:val="left" w:pos="9213"/>
        </w:tabs>
        <w:rPr>
          <w:rStyle w:val="23"/>
          <w:rFonts w:ascii="宋体" w:hAnsi="MS Sans Serif"/>
          <w:sz w:val="24"/>
          <w:szCs w:val="24"/>
        </w:rPr>
      </w:pPr>
      <w:r>
        <w:rPr>
          <w:rFonts w:ascii="宋体" w:hAnsi="MS Sans Serif"/>
          <w:szCs w:val="24"/>
        </w:rPr>
        <w:drawing>
          <wp:inline distT="0" distB="0" distL="0" distR="0">
            <wp:extent cx="6153150" cy="27051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preferRelativeResize="0">
                      <a:picLocks noChangeAspect="1" noChangeArrowheads="1"/>
                    </pic:cNvPicPr>
                  </pic:nvPicPr>
                  <pic:blipFill>
                    <a:blip r:embed="rId5" cstate="print"/>
                    <a:srcRect/>
                    <a:stretch>
                      <a:fillRect/>
                    </a:stretch>
                  </pic:blipFill>
                  <pic:spPr>
                    <a:xfrm>
                      <a:off x="0" y="0"/>
                      <a:ext cx="6153150" cy="2705100"/>
                    </a:xfrm>
                    <a:prstGeom prst="rect">
                      <a:avLst/>
                    </a:prstGeom>
                    <a:noFill/>
                    <a:ln w="9525">
                      <a:noFill/>
                      <a:miter lim="800000"/>
                      <a:headEnd/>
                      <a:tailEnd/>
                    </a:ln>
                  </pic:spPr>
                </pic:pic>
              </a:graphicData>
            </a:graphic>
          </wp:inline>
        </w:drawing>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橡胶本体：高强度、耐油、耐候、阻燃、耐腐蚀的氯丁橡胶布硫化加工制成。</w:t>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固体浮子：聚苯乙烯泡沫塑料，外包耐油材料。</w:t>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配重块：铸铁加工，用不锈钢螺栓紧固夹在主体上。</w:t>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接头：带孔的加厚的火镀锌钢板用不锈钢螺栓紧固在接头上作为加强件，上下用锦纶绳交叉穿孔连接。</w:t>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固锚座：高强度火镀锌钢板制成，用来系锚绳用。</w:t>
      </w:r>
    </w:p>
    <w:p>
      <w:pPr>
        <w:numPr>
          <w:ilvl w:val="0"/>
          <w:numId w:val="2"/>
        </w:numPr>
        <w:tabs>
          <w:tab w:val="left" w:pos="510"/>
          <w:tab w:val="left" w:pos="9213"/>
        </w:tabs>
        <w:spacing w:line="360" w:lineRule="auto"/>
        <w:rPr>
          <w:rStyle w:val="23"/>
          <w:rFonts w:ascii="宋体" w:hAnsi="MS Sans Serif"/>
          <w:sz w:val="24"/>
          <w:szCs w:val="24"/>
        </w:rPr>
      </w:pPr>
      <w:r>
        <w:rPr>
          <w:rStyle w:val="23"/>
          <w:rFonts w:ascii="宋体" w:hAnsi="MS Sans Serif"/>
          <w:sz w:val="24"/>
          <w:szCs w:val="24"/>
        </w:rPr>
        <w:t>提手：耐油胶布制成用不锈钢螺栓压紧固定在本体上，用于手工搬运围油栏。</w:t>
      </w:r>
    </w:p>
    <w:p>
      <w:pPr>
        <w:pStyle w:val="25"/>
        <w:spacing w:before="0"/>
        <w:rPr>
          <w:rStyle w:val="23"/>
        </w:rPr>
      </w:pPr>
      <w:r>
        <w:rPr>
          <w:rStyle w:val="23"/>
        </w:rPr>
        <w:t>1.3 WGJ1000固体浮子式橡胶围油栏的性能</w:t>
      </w:r>
    </w:p>
    <w:p>
      <w:pPr>
        <w:numPr>
          <w:ilvl w:val="0"/>
          <w:numId w:val="3"/>
        </w:numPr>
        <w:spacing w:line="360" w:lineRule="auto"/>
        <w:rPr>
          <w:rStyle w:val="23"/>
          <w:sz w:val="24"/>
          <w:szCs w:val="24"/>
        </w:rPr>
      </w:pPr>
      <w:r>
        <w:rPr>
          <w:rStyle w:val="23"/>
          <w:sz w:val="24"/>
          <w:szCs w:val="24"/>
        </w:rPr>
        <w:t>围油栏橡胶布外观质量高于HG/T3046-1999的要求；围油栏各金属件结合牢固、清洁、无毛刺；</w:t>
      </w:r>
    </w:p>
    <w:p>
      <w:pPr>
        <w:numPr>
          <w:ilvl w:val="0"/>
          <w:numId w:val="3"/>
        </w:numPr>
        <w:spacing w:line="360" w:lineRule="auto"/>
        <w:rPr>
          <w:rStyle w:val="23"/>
          <w:sz w:val="24"/>
          <w:szCs w:val="24"/>
        </w:rPr>
      </w:pPr>
      <w:r>
        <w:rPr>
          <w:rStyle w:val="23"/>
          <w:sz w:val="24"/>
          <w:szCs w:val="24"/>
        </w:rPr>
        <w:t>围油栏包布采用符合要求的骨架材料和</w:t>
      </w:r>
      <w:r>
        <w:rPr>
          <w:rStyle w:val="23"/>
          <w:rFonts w:ascii="宋体" w:hAnsi="MS Sans Serif"/>
          <w:sz w:val="24"/>
          <w:szCs w:val="24"/>
        </w:rPr>
        <w:t>高强度、耐油、耐候、阻燃、耐腐蚀性能好的氯丁</w:t>
      </w:r>
      <w:r>
        <w:rPr>
          <w:rStyle w:val="23"/>
          <w:sz w:val="24"/>
          <w:szCs w:val="24"/>
        </w:rPr>
        <w:t>橡胶制成；骨架材料采用NN200锦纶浸胶帆布，骨架材料抗拉强度大于20000N/5cm制成的两层复合橡胶布。撕裂强度1030N。每节围油栏的包布在长度方向上没有接头或缝隙，无气泡、褶皱和开裂现象，橡胶具有耐油、耐酸碱、抗老化、耐海水和性能。能适应-40°C ~ +70°C的环境温度剧烈变化。橡胶布层间粘合强度为11.5N/mm，外贴胶的粘合强度为12N/mm；橡胶及帆布未经使用过，不存在任何影响产品性能的缺陷；</w:t>
      </w:r>
    </w:p>
    <w:p>
      <w:pPr>
        <w:numPr>
          <w:ilvl w:val="0"/>
          <w:numId w:val="3"/>
        </w:numPr>
        <w:spacing w:line="360" w:lineRule="auto"/>
        <w:rPr>
          <w:rStyle w:val="23"/>
          <w:sz w:val="24"/>
          <w:szCs w:val="24"/>
        </w:rPr>
      </w:pPr>
      <w:r>
        <w:rPr>
          <w:rStyle w:val="23"/>
          <w:sz w:val="24"/>
          <w:szCs w:val="24"/>
        </w:rPr>
        <w:t>金属结构件—连接板、固锚座等采取防腐蚀的火镀锌钢制成，螺栓等紧固件采用耐海水腐蚀的不锈钢材料。非金属材料采用耐海水、耐候、耐油的材料制成。不存在任何影响产品性能的缺陷；</w:t>
      </w:r>
    </w:p>
    <w:p>
      <w:pPr>
        <w:numPr>
          <w:ilvl w:val="0"/>
          <w:numId w:val="3"/>
        </w:numPr>
        <w:spacing w:line="360" w:lineRule="auto"/>
        <w:rPr>
          <w:rStyle w:val="23"/>
          <w:sz w:val="24"/>
          <w:szCs w:val="24"/>
        </w:rPr>
      </w:pPr>
      <w:r>
        <w:rPr>
          <w:rStyle w:val="23"/>
          <w:sz w:val="24"/>
          <w:szCs w:val="24"/>
        </w:rPr>
        <w:t>围油栏浮子室上部开口装入浮子后加压、加温硫化粘连封闭，无缝隙；浮室封口处硫化宽度为50mm，布层间的硫化粘合强度不低于11.5N/mm；</w:t>
      </w:r>
    </w:p>
    <w:p>
      <w:pPr>
        <w:numPr>
          <w:ilvl w:val="0"/>
          <w:numId w:val="3"/>
        </w:numPr>
        <w:spacing w:line="360" w:lineRule="auto"/>
        <w:rPr>
          <w:rStyle w:val="23"/>
          <w:sz w:val="24"/>
          <w:szCs w:val="24"/>
        </w:rPr>
      </w:pPr>
      <w:r>
        <w:rPr>
          <w:rStyle w:val="23"/>
          <w:sz w:val="24"/>
          <w:szCs w:val="24"/>
        </w:rPr>
        <w:t>浮体为圆柱形“不倒翁”式结构，整体发泡，围油栏有防止浮体丢失的措施，浮体外部采用耐油材料密封包裹，防止浮体被溢油腐蚀；</w:t>
      </w:r>
    </w:p>
    <w:p>
      <w:pPr>
        <w:numPr>
          <w:ilvl w:val="0"/>
          <w:numId w:val="3"/>
        </w:numPr>
        <w:spacing w:line="360" w:lineRule="auto"/>
        <w:rPr>
          <w:rStyle w:val="23"/>
          <w:sz w:val="24"/>
          <w:szCs w:val="24"/>
        </w:rPr>
      </w:pPr>
      <w:r>
        <w:rPr>
          <w:rStyle w:val="23"/>
          <w:sz w:val="24"/>
          <w:szCs w:val="24"/>
        </w:rPr>
        <w:t>接头形式采用加强对夹式钢板及连接绳接头，可在现场连接；同型号围油栏接头完全互换性；</w:t>
      </w:r>
    </w:p>
    <w:p>
      <w:pPr>
        <w:numPr>
          <w:ilvl w:val="0"/>
          <w:numId w:val="3"/>
        </w:numPr>
        <w:spacing w:line="360" w:lineRule="auto"/>
        <w:rPr>
          <w:rStyle w:val="23"/>
          <w:sz w:val="24"/>
          <w:szCs w:val="24"/>
        </w:rPr>
      </w:pPr>
      <w:r>
        <w:rPr>
          <w:rStyle w:val="23"/>
          <w:sz w:val="24"/>
          <w:szCs w:val="24"/>
        </w:rPr>
        <w:t>静态布放具有稳定的干舷和吃水；</w:t>
      </w:r>
    </w:p>
    <w:p>
      <w:pPr>
        <w:numPr>
          <w:ilvl w:val="0"/>
          <w:numId w:val="3"/>
        </w:numPr>
        <w:spacing w:line="360" w:lineRule="auto"/>
        <w:rPr>
          <w:rStyle w:val="23"/>
          <w:sz w:val="24"/>
          <w:szCs w:val="24"/>
        </w:rPr>
      </w:pPr>
      <w:r>
        <w:rPr>
          <w:rStyle w:val="23"/>
          <w:sz w:val="24"/>
          <w:szCs w:val="24"/>
        </w:rPr>
        <w:t>组成围油栏的附件外观正常，清洁、无毛刺；</w:t>
      </w:r>
    </w:p>
    <w:p>
      <w:pPr>
        <w:numPr>
          <w:ilvl w:val="0"/>
          <w:numId w:val="3"/>
        </w:numPr>
        <w:spacing w:line="360" w:lineRule="auto"/>
        <w:rPr>
          <w:rStyle w:val="23"/>
          <w:sz w:val="24"/>
          <w:szCs w:val="24"/>
        </w:rPr>
      </w:pPr>
      <w:r>
        <w:rPr>
          <w:rStyle w:val="23"/>
          <w:sz w:val="24"/>
          <w:szCs w:val="24"/>
        </w:rPr>
        <w:t>正常使用年限不少于5年，正常储存年限不少于8年。</w:t>
      </w:r>
    </w:p>
    <w:p>
      <w:pPr>
        <w:spacing w:line="360" w:lineRule="auto"/>
        <w:ind w:left="510"/>
        <w:rPr>
          <w:rStyle w:val="23"/>
          <w:sz w:val="24"/>
          <w:szCs w:val="24"/>
        </w:rPr>
      </w:pPr>
    </w:p>
    <w:p>
      <w:pPr>
        <w:pStyle w:val="25"/>
        <w:spacing w:before="0"/>
        <w:rPr>
          <w:rStyle w:val="23"/>
        </w:rPr>
      </w:pPr>
      <w:r>
        <w:rPr>
          <w:rStyle w:val="23"/>
        </w:rPr>
        <w:t>1.4 围油栏接头</w:t>
      </w:r>
    </w:p>
    <w:p>
      <w:pPr>
        <w:spacing w:line="360" w:lineRule="auto"/>
        <w:ind w:firstLine="480" w:firstLineChars="200"/>
        <w:rPr>
          <w:rStyle w:val="23"/>
          <w:sz w:val="24"/>
          <w:szCs w:val="24"/>
        </w:rPr>
      </w:pPr>
      <w:r>
        <w:rPr>
          <w:rStyle w:val="23"/>
          <w:sz w:val="24"/>
          <w:szCs w:val="24"/>
        </w:rPr>
        <w:t>围油栏各节间接头采用高强度对夹式钢板及连接绳接头，连接方便。同型</w:t>
      </w:r>
      <w:r>
        <w:rPr>
          <w:rStyle w:val="23"/>
          <w:sz w:val="24"/>
        </w:rPr>
        <w:t>号围油栏接头完全具有互换性；</w:t>
      </w:r>
      <w:r>
        <w:rPr>
          <w:rStyle w:val="23"/>
          <w:sz w:val="24"/>
          <w:szCs w:val="24"/>
        </w:rPr>
        <w:t>接头具有以下特点：</w:t>
      </w:r>
    </w:p>
    <w:p>
      <w:pPr>
        <w:widowControl/>
        <w:tabs>
          <w:tab w:val="left" w:pos="0"/>
        </w:tabs>
        <w:textAlignment w:val="baseline"/>
        <w:rPr>
          <w:rStyle w:val="23"/>
          <w:sz w:val="24"/>
          <w:szCs w:val="24"/>
        </w:rPr>
      </w:pPr>
      <w:r>
        <w:rPr>
          <w:rStyle w:val="23"/>
          <w:rFonts w:hint="eastAsia"/>
          <w:sz w:val="24"/>
          <w:szCs w:val="24"/>
        </w:rPr>
        <w:t>1）</w:t>
      </w:r>
      <w:r>
        <w:rPr>
          <w:rStyle w:val="23"/>
          <w:sz w:val="24"/>
          <w:szCs w:val="24"/>
        </w:rPr>
        <w:t>接头的高度为围油栏的总高；</w:t>
      </w:r>
    </w:p>
    <w:p>
      <w:pPr>
        <w:widowControl/>
        <w:tabs>
          <w:tab w:val="left" w:pos="0"/>
        </w:tabs>
        <w:textAlignment w:val="baseline"/>
        <w:rPr>
          <w:rStyle w:val="23"/>
          <w:sz w:val="24"/>
          <w:szCs w:val="24"/>
        </w:rPr>
      </w:pPr>
      <w:r>
        <w:rPr>
          <w:rStyle w:val="23"/>
          <w:rFonts w:hint="eastAsia"/>
          <w:sz w:val="24"/>
          <w:szCs w:val="24"/>
        </w:rPr>
        <w:t>2）</w:t>
      </w:r>
      <w:r>
        <w:rPr>
          <w:rStyle w:val="23"/>
          <w:sz w:val="24"/>
          <w:szCs w:val="24"/>
        </w:rPr>
        <w:t>各节围油栏间连接后在作业中，拉力载荷分布传递，可避免局部过载；</w:t>
      </w:r>
    </w:p>
    <w:p>
      <w:pPr>
        <w:widowControl/>
        <w:tabs>
          <w:tab w:val="left" w:pos="0"/>
        </w:tabs>
        <w:textAlignment w:val="baseline"/>
        <w:rPr>
          <w:rStyle w:val="23"/>
          <w:sz w:val="24"/>
          <w:szCs w:val="24"/>
        </w:rPr>
      </w:pPr>
      <w:r>
        <w:rPr>
          <w:rStyle w:val="23"/>
          <w:rFonts w:hint="eastAsia"/>
          <w:sz w:val="24"/>
          <w:szCs w:val="24"/>
        </w:rPr>
        <w:t>3）</w:t>
      </w:r>
      <w:r>
        <w:rPr>
          <w:rStyle w:val="23"/>
          <w:sz w:val="24"/>
          <w:szCs w:val="24"/>
        </w:rPr>
        <w:t>接头连接后接头处密封无溢油泄露；</w:t>
      </w:r>
    </w:p>
    <w:p>
      <w:pPr>
        <w:widowControl/>
        <w:tabs>
          <w:tab w:val="left" w:pos="0"/>
        </w:tabs>
        <w:textAlignment w:val="baseline"/>
        <w:rPr>
          <w:rStyle w:val="23"/>
          <w:sz w:val="24"/>
          <w:szCs w:val="24"/>
        </w:rPr>
      </w:pPr>
      <w:r>
        <w:rPr>
          <w:rStyle w:val="23"/>
          <w:rFonts w:hint="eastAsia"/>
          <w:sz w:val="24"/>
          <w:szCs w:val="24"/>
        </w:rPr>
        <w:t>4）</w:t>
      </w:r>
      <w:r>
        <w:rPr>
          <w:rStyle w:val="23"/>
          <w:sz w:val="24"/>
          <w:szCs w:val="24"/>
        </w:rPr>
        <w:t>在油污、污垢和结冰的情况下，可方便的连接；</w:t>
      </w:r>
    </w:p>
    <w:p>
      <w:pPr>
        <w:widowControl/>
        <w:tabs>
          <w:tab w:val="left" w:pos="0"/>
        </w:tabs>
        <w:textAlignment w:val="baseline"/>
        <w:rPr>
          <w:rStyle w:val="23"/>
          <w:sz w:val="24"/>
          <w:szCs w:val="24"/>
        </w:rPr>
      </w:pPr>
      <w:r>
        <w:rPr>
          <w:rStyle w:val="23"/>
          <w:rFonts w:hint="eastAsia"/>
          <w:sz w:val="24"/>
          <w:szCs w:val="24"/>
        </w:rPr>
        <w:t>5）</w:t>
      </w:r>
      <w:r>
        <w:rPr>
          <w:rStyle w:val="23"/>
          <w:sz w:val="24"/>
          <w:szCs w:val="24"/>
        </w:rPr>
        <w:t>在水中或岸上均能方便的连接和拆卸；</w:t>
      </w:r>
    </w:p>
    <w:p>
      <w:pPr>
        <w:widowControl/>
        <w:tabs>
          <w:tab w:val="left" w:pos="0"/>
        </w:tabs>
        <w:textAlignment w:val="baseline"/>
        <w:rPr>
          <w:rStyle w:val="23"/>
          <w:sz w:val="24"/>
          <w:szCs w:val="24"/>
        </w:rPr>
      </w:pPr>
      <w:r>
        <w:rPr>
          <w:rStyle w:val="23"/>
          <w:rFonts w:hint="eastAsia"/>
          <w:sz w:val="24"/>
          <w:szCs w:val="24"/>
        </w:rPr>
        <w:t>6）</w:t>
      </w:r>
      <w:r>
        <w:rPr>
          <w:rStyle w:val="23"/>
          <w:sz w:val="24"/>
          <w:szCs w:val="24"/>
        </w:rPr>
        <w:t>对围油栏的性能无影响（包括干舷、起伏性能、乘波性、稳定性等）；</w:t>
      </w:r>
    </w:p>
    <w:p>
      <w:pPr>
        <w:widowControl/>
        <w:tabs>
          <w:tab w:val="left" w:pos="0"/>
        </w:tabs>
        <w:textAlignment w:val="baseline"/>
        <w:rPr>
          <w:rStyle w:val="23"/>
          <w:sz w:val="24"/>
          <w:szCs w:val="24"/>
        </w:rPr>
      </w:pPr>
      <w:r>
        <w:rPr>
          <w:rStyle w:val="23"/>
          <w:rFonts w:hint="eastAsia"/>
          <w:sz w:val="24"/>
          <w:szCs w:val="24"/>
        </w:rPr>
        <w:t>7）</w:t>
      </w:r>
      <w:r>
        <w:rPr>
          <w:rStyle w:val="23"/>
          <w:sz w:val="24"/>
          <w:szCs w:val="24"/>
        </w:rPr>
        <w:t>不受温度影响；轻便并具有稳定的浮力；</w:t>
      </w:r>
    </w:p>
    <w:p>
      <w:pPr>
        <w:widowControl/>
        <w:tabs>
          <w:tab w:val="left" w:pos="0"/>
        </w:tabs>
        <w:textAlignment w:val="baseline"/>
        <w:rPr>
          <w:rStyle w:val="23"/>
          <w:sz w:val="24"/>
          <w:szCs w:val="24"/>
        </w:rPr>
      </w:pPr>
      <w:r>
        <w:rPr>
          <w:rStyle w:val="23"/>
          <w:rFonts w:hint="eastAsia"/>
          <w:sz w:val="24"/>
          <w:szCs w:val="24"/>
        </w:rPr>
        <w:t>8）</w:t>
      </w:r>
      <w:r>
        <w:rPr>
          <w:rStyle w:val="23"/>
          <w:sz w:val="24"/>
          <w:szCs w:val="24"/>
        </w:rPr>
        <w:t>不需要特殊的组装和拆卸工具；</w:t>
      </w:r>
    </w:p>
    <w:p>
      <w:pPr>
        <w:widowControl/>
        <w:tabs>
          <w:tab w:val="left" w:pos="0"/>
        </w:tabs>
        <w:textAlignment w:val="baseline"/>
        <w:rPr>
          <w:rStyle w:val="23"/>
          <w:sz w:val="24"/>
          <w:szCs w:val="24"/>
        </w:rPr>
      </w:pPr>
      <w:r>
        <w:rPr>
          <w:rStyle w:val="23"/>
          <w:rFonts w:hint="eastAsia"/>
          <w:sz w:val="24"/>
          <w:szCs w:val="24"/>
        </w:rPr>
        <w:t>9）</w:t>
      </w:r>
      <w:r>
        <w:rPr>
          <w:rStyle w:val="23"/>
          <w:sz w:val="24"/>
          <w:szCs w:val="24"/>
        </w:rPr>
        <w:t>无产生绊阻、伤害或穿刺的突出部件；对工作人员无伤害的危险。</w:t>
      </w:r>
    </w:p>
    <w:p>
      <w:pPr>
        <w:widowControl/>
        <w:tabs>
          <w:tab w:val="left" w:pos="0"/>
        </w:tabs>
        <w:textAlignment w:val="baseline"/>
        <w:rPr>
          <w:rStyle w:val="23"/>
          <w:sz w:val="24"/>
          <w:szCs w:val="24"/>
        </w:rPr>
      </w:pPr>
      <w:r>
        <w:rPr>
          <w:rStyle w:val="23"/>
          <w:rFonts w:hint="eastAsia"/>
          <w:sz w:val="24"/>
          <w:szCs w:val="24"/>
        </w:rPr>
        <w:t>10）</w:t>
      </w:r>
      <w:r>
        <w:rPr>
          <w:rStyle w:val="23"/>
          <w:sz w:val="24"/>
          <w:szCs w:val="24"/>
        </w:rPr>
        <w:t>接头的抗拉强度大于围油栏包布的抗拉强度；</w:t>
      </w:r>
    </w:p>
    <w:p>
      <w:pPr>
        <w:widowControl/>
        <w:tabs>
          <w:tab w:val="left" w:pos="0"/>
        </w:tabs>
        <w:textAlignment w:val="baseline"/>
        <w:rPr>
          <w:rStyle w:val="23"/>
          <w:sz w:val="24"/>
          <w:szCs w:val="24"/>
        </w:rPr>
      </w:pPr>
      <w:r>
        <w:rPr>
          <w:rStyle w:val="23"/>
          <w:rFonts w:hint="eastAsia"/>
          <w:sz w:val="24"/>
          <w:szCs w:val="24"/>
        </w:rPr>
        <w:t>11）</w:t>
      </w:r>
      <w:r>
        <w:rPr>
          <w:rStyle w:val="23"/>
          <w:sz w:val="24"/>
          <w:szCs w:val="24"/>
        </w:rPr>
        <w:t>选择接头时已考虑重量、机械强度、化学稳定性、灵活性以及其使用水域的环境条件等因素。</w:t>
      </w:r>
    </w:p>
    <w:p>
      <w:pPr>
        <w:widowControl/>
        <w:tabs>
          <w:tab w:val="left" w:pos="0"/>
        </w:tabs>
        <w:textAlignment w:val="baseline"/>
        <w:rPr>
          <w:rStyle w:val="23"/>
          <w:sz w:val="24"/>
          <w:szCs w:val="24"/>
        </w:rPr>
      </w:pPr>
    </w:p>
    <w:p>
      <w:pPr>
        <w:pStyle w:val="25"/>
        <w:spacing w:before="0"/>
        <w:rPr>
          <w:rStyle w:val="23"/>
        </w:rPr>
      </w:pPr>
      <w:r>
        <w:rPr>
          <w:rStyle w:val="23"/>
        </w:rPr>
        <w:t>1.5 主要技术说明</w:t>
      </w:r>
    </w:p>
    <w:tbl>
      <w:tblPr>
        <w:tblStyle w:val="12"/>
        <w:tblW w:w="900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7"/>
        <w:gridCol w:w="5663"/>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doub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名称/型号</w:t>
            </w:r>
          </w:p>
        </w:tc>
        <w:tc>
          <w:tcPr>
            <w:tcW w:w="5663" w:type="dxa"/>
            <w:tcBorders>
              <w:top w:val="doub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WGJ1000固体浮子式橡胶围油栏</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总高度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1000mm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干舷</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390mm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吃水</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610mm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每节长度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20m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接头</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对夹钢板及上下两端连接绳式接头</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裙体材料</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耐油、耐候、耐磨、耐腐蚀、耐海水氯丁橡胶布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颜色</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黑色</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浮体</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形状：圆柱型  位置：内置  类型：聚苯乙烯泡沫</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浮体长度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1100mm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浮体数量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12件</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浮体直径</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Ф320mm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重量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10kg/m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总浮力</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0.57kN/m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总浮力与重量比</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5.5：1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配重材料</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HT200，200号灰铸铁配重块。</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配重重量</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48件， 2Kg/件，  4．8kg/m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基布总抗拉强度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大于360KN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围油栏总抗拉强度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大于100KN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储存体积</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1.5×1.2×1.5m</w:t>
            </w:r>
            <w:r>
              <w:rPr>
                <w:rStyle w:val="23"/>
                <w:rFonts w:ascii="宋体" w:hAnsi="宋体"/>
                <w:sz w:val="24"/>
                <w:szCs w:val="24"/>
                <w:vertAlign w:val="superscript"/>
              </w:rPr>
              <w:t>3</w:t>
            </w:r>
            <w:r>
              <w:rPr>
                <w:rStyle w:val="23"/>
                <w:rFonts w:ascii="宋体" w:hAnsi="宋体"/>
                <w:sz w:val="24"/>
                <w:szCs w:val="24"/>
              </w:rPr>
              <w:t xml:space="preserve">/20m </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拖带速度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直线拖带速度10kn</w:t>
            </w:r>
          </w:p>
          <w:p>
            <w:pPr>
              <w:tabs>
                <w:tab w:val="left" w:pos="9213"/>
              </w:tabs>
              <w:spacing w:line="360" w:lineRule="auto"/>
              <w:rPr>
                <w:rStyle w:val="23"/>
                <w:rFonts w:ascii="宋体" w:hAnsi="宋体"/>
                <w:sz w:val="24"/>
                <w:szCs w:val="24"/>
              </w:rPr>
            </w:pPr>
            <w:r>
              <w:rPr>
                <w:rStyle w:val="23"/>
                <w:rFonts w:ascii="宋体" w:hAnsi="宋体"/>
                <w:sz w:val="24"/>
                <w:szCs w:val="24"/>
              </w:rPr>
              <w:t>围油栏悬链拖带时的拖带速度4kn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耐最大波高</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1.5m</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耐最大风速</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16 m/s</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耐最大流速</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2.5kn</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337" w:type="dxa"/>
            <w:tcBorders>
              <w:top w:val="single" w:color="000000" w:sz="4" w:space="0"/>
              <w:left w:val="double" w:color="000000" w:sz="4" w:space="0"/>
              <w:bottom w:val="single" w:color="000000" w:sz="4" w:space="0"/>
              <w:right w:val="sing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适宜温度</w:t>
            </w:r>
          </w:p>
        </w:tc>
        <w:tc>
          <w:tcPr>
            <w:tcW w:w="5663" w:type="dxa"/>
            <w:tcBorders>
              <w:top w:val="single" w:color="000000" w:sz="4" w:space="0"/>
              <w:left w:val="single" w:color="000000" w:sz="4" w:space="0"/>
              <w:bottom w:val="single" w:color="000000" w:sz="4" w:space="0"/>
              <w:right w:val="double" w:color="000000" w:sz="4" w:space="0"/>
            </w:tcBorders>
            <w:vAlign w:val="center"/>
          </w:tcPr>
          <w:p>
            <w:pPr>
              <w:tabs>
                <w:tab w:val="left" w:pos="9213"/>
              </w:tabs>
              <w:spacing w:line="360" w:lineRule="auto"/>
              <w:rPr>
                <w:rStyle w:val="23"/>
                <w:rFonts w:ascii="宋体" w:hAnsi="宋体"/>
                <w:sz w:val="24"/>
                <w:szCs w:val="24"/>
              </w:rPr>
            </w:pPr>
            <w:r>
              <w:rPr>
                <w:rStyle w:val="23"/>
                <w:rFonts w:ascii="宋体" w:hAnsi="宋体"/>
                <w:sz w:val="24"/>
                <w:szCs w:val="24"/>
              </w:rPr>
              <w:t>-40～70℃</w:t>
            </w:r>
          </w:p>
        </w:tc>
      </w:tr>
    </w:tbl>
    <w:p>
      <w:pPr>
        <w:pStyle w:val="24"/>
        <w:rPr>
          <w:rStyle w:val="23"/>
        </w:rPr>
      </w:pPr>
      <w:r>
        <w:rPr>
          <w:rStyle w:val="23"/>
        </w:rPr>
        <w:pict>
          <v:shape id="_x0000_s2050" o:spid="_x0000_s2050" o:spt="100" style="position:absolute;left:0pt;margin-left:0pt;margin-top:0pt;height:50pt;width:50pt;visibility:hidden;z-index:251668480;mso-width-relative:page;mso-height-relative:page;" filled="f" stroked="f" coordsize="21600,21600" adj="">
            <v:fill on="f" focussize="0,0"/>
            <v:stroke on="f"/>
            <v:imagedata o:title=""/>
            <o:lock v:ext="edit" selection="t" aspectratio="t"/>
          </v:shape>
        </w:pict>
      </w:r>
      <w:r>
        <w:drawing>
          <wp:anchor distT="0" distB="0" distL="114300" distR="114300" simplePos="0" relativeHeight="251667456" behindDoc="0" locked="0" layoutInCell="1" allowOverlap="1">
            <wp:simplePos x="0" y="0"/>
            <wp:positionH relativeFrom="column">
              <wp:posOffset>3067050</wp:posOffset>
            </wp:positionH>
            <wp:positionV relativeFrom="paragraph">
              <wp:posOffset>225425</wp:posOffset>
            </wp:positionV>
            <wp:extent cx="2085975" cy="4210050"/>
            <wp:effectExtent l="0" t="0" r="9525" b="0"/>
            <wp:wrapSquare wrapText="bothSides"/>
            <wp:docPr id="13" name="图片 10"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age3"/>
                    <pic:cNvPicPr preferRelativeResize="0">
                      <a:picLocks noChangeAspect="1" noChangeArrowheads="1"/>
                    </pic:cNvPicPr>
                  </pic:nvPicPr>
                  <pic:blipFill>
                    <a:blip r:embed="rId6" cstate="print"/>
                    <a:srcRect/>
                    <a:stretch>
                      <a:fillRect/>
                    </a:stretch>
                  </pic:blipFill>
                  <pic:spPr>
                    <a:xfrm>
                      <a:off x="0" y="0"/>
                      <a:ext cx="2085975" cy="4210050"/>
                    </a:xfrm>
                    <a:prstGeom prst="rect">
                      <a:avLst/>
                    </a:prstGeom>
                    <a:noFill/>
                    <a:ln>
                      <a:noFill/>
                    </a:ln>
                  </pic:spPr>
                </pic:pic>
              </a:graphicData>
            </a:graphic>
          </wp:anchor>
        </w:drawing>
      </w:r>
      <w:r>
        <w:rPr>
          <w:rStyle w:val="23"/>
          <w:szCs w:val="28"/>
        </w:rPr>
        <w:t>二、</w:t>
      </w:r>
      <w:r>
        <w:rPr>
          <w:rStyle w:val="23"/>
        </w:rPr>
        <w:t>定位连接浮筒技术规格书</w:t>
      </w:r>
    </w:p>
    <w:p>
      <w:pPr>
        <w:pStyle w:val="25"/>
        <w:spacing w:before="0"/>
        <w:rPr>
          <w:rStyle w:val="23"/>
        </w:rPr>
      </w:pPr>
      <w:r>
        <w:rPr>
          <w:rStyle w:val="23"/>
        </w:rPr>
        <w:t>2.1 概述</w:t>
      </w:r>
    </w:p>
    <w:p>
      <w:pPr>
        <w:spacing w:line="360" w:lineRule="auto"/>
        <w:ind w:firstLine="480" w:firstLineChars="200"/>
        <w:rPr>
          <w:rStyle w:val="23"/>
          <w:rFonts w:ascii="宋体" w:hAnsi="宋体"/>
          <w:sz w:val="24"/>
          <w:szCs w:val="24"/>
        </w:rPr>
      </w:pPr>
      <w:r>
        <w:rPr>
          <w:rStyle w:val="23"/>
          <w:rFonts w:ascii="宋体" w:hAnsi="宋体"/>
          <w:sz w:val="24"/>
          <w:szCs w:val="24"/>
        </w:rPr>
        <w:t>定位连接浮筒是一种围油栏辅助件，在水面布放围油栏时用以将围油栏定位和连接围油栏。</w:t>
      </w:r>
    </w:p>
    <w:p>
      <w:pPr>
        <w:pStyle w:val="25"/>
        <w:spacing w:before="0"/>
        <w:rPr>
          <w:rStyle w:val="23"/>
        </w:rPr>
      </w:pPr>
      <w:r>
        <w:rPr>
          <w:rStyle w:val="23"/>
        </w:rPr>
        <w:t>2.2 结构及技术参数</w:t>
      </w:r>
    </w:p>
    <w:p>
      <w:pPr>
        <w:spacing w:line="360" w:lineRule="auto"/>
        <w:ind w:firstLine="480" w:firstLineChars="200"/>
        <w:rPr>
          <w:rStyle w:val="23"/>
          <w:rFonts w:ascii="宋体" w:hAnsi="宋体"/>
          <w:sz w:val="24"/>
          <w:szCs w:val="24"/>
        </w:rPr>
      </w:pPr>
      <w:r>
        <w:rPr>
          <w:rStyle w:val="23"/>
          <w:rFonts w:ascii="宋体" w:hAnsi="宋体"/>
          <w:sz w:val="24"/>
          <w:szCs w:val="24"/>
        </w:rPr>
        <w:t>定位连接浮筒有一个上部为园柱形、下部为锥体的筒体，浮筒筒体园周分布有二个或更多的连接板和拉绳环。连接板和筒体为可快速拆装连接，连接板上可以固定与各种围油栏连接的接头。拉绳环通过卸扣与固定或拉紧定位连接浮筒的锚绳或拖拉绳连接。</w:t>
      </w:r>
    </w:p>
    <w:p>
      <w:pPr>
        <w:spacing w:line="360" w:lineRule="auto"/>
        <w:ind w:firstLine="480" w:firstLineChars="200"/>
        <w:rPr>
          <w:rStyle w:val="23"/>
          <w:rFonts w:ascii="宋体" w:hAnsi="宋体"/>
          <w:sz w:val="24"/>
          <w:szCs w:val="24"/>
        </w:rPr>
      </w:pPr>
      <w:r>
        <w:rPr>
          <w:rStyle w:val="23"/>
          <w:rFonts w:ascii="宋体" w:hAnsi="宋体"/>
          <w:sz w:val="24"/>
          <w:szCs w:val="24"/>
        </w:rPr>
        <w:t>WT1100定位连接浮筒(总高1100围油栏用)的尺寸和质量如下：</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筒体直径：      Φ608mm</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总高度:         ≈1550mm</w:t>
      </w:r>
    </w:p>
    <w:p>
      <w:pPr>
        <w:spacing w:line="360" w:lineRule="auto"/>
        <w:ind w:firstLine="480" w:firstLineChars="200"/>
        <w:rPr>
          <w:rStyle w:val="23"/>
          <w:rFonts w:ascii="宋体" w:hAnsi="宋体"/>
          <w:sz w:val="24"/>
          <w:szCs w:val="24"/>
        </w:rPr>
      </w:pPr>
      <w:r>
        <w:rPr>
          <w:rStyle w:val="23"/>
          <w:sz w:val="24"/>
        </w:rPr>
        <w:t xml:space="preserve">    </w:t>
      </w:r>
      <w:r>
        <w:rPr>
          <w:rStyle w:val="23"/>
          <w:rFonts w:ascii="宋体" w:hAnsi="宋体"/>
          <w:sz w:val="24"/>
          <w:szCs w:val="24"/>
        </w:rPr>
        <w:t xml:space="preserve">    质量:           ≈210kg</w:t>
      </w:r>
    </w:p>
    <w:p>
      <w:pPr>
        <w:spacing w:line="360" w:lineRule="auto"/>
        <w:ind w:firstLine="480" w:firstLineChars="200"/>
        <w:rPr>
          <w:rStyle w:val="23"/>
          <w:rFonts w:ascii="宋体" w:hAnsi="宋体"/>
          <w:sz w:val="24"/>
          <w:szCs w:val="24"/>
        </w:rPr>
      </w:pPr>
      <w:r>
        <w:rPr>
          <w:rStyle w:val="23"/>
          <w:rFonts w:ascii="宋体" w:hAnsi="宋体"/>
          <w:sz w:val="24"/>
          <w:szCs w:val="24"/>
        </w:rPr>
        <w:t>根据需要浮筒上可以装2～4个连接板。</w:t>
      </w:r>
    </w:p>
    <w:p>
      <w:pPr>
        <w:pStyle w:val="25"/>
        <w:spacing w:before="0"/>
        <w:rPr>
          <w:rStyle w:val="23"/>
        </w:rPr>
      </w:pPr>
      <w:r>
        <w:rPr>
          <w:rStyle w:val="23"/>
        </w:rPr>
        <w:t>2.3 特点</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a. 能使水面上几段围油栏之间连接工作方便快捷。</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b. 能保证围油栏段之间的接头有良好的密封挡油能力。</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c. 有良好的漂浮稳定性。在有定位连接浮筒作接头的围油栏处，围油栏不易因为受锚绳或拖拉绳的力，局部下沉或被提出水面。</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d. 锚绳或拖拉绳的力通过定位连接浮筒能均匀地分布在围油栏栏体上，防止围油栏因受力集中而损坏。</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e. 筒体内用聚氨脂发泡填充,抗破损能力提高,即使筒体局部漏水,定位浮筒浮力也不受影响。</w:t>
      </w:r>
    </w:p>
    <w:p>
      <w:pPr>
        <w:spacing w:line="360" w:lineRule="auto"/>
        <w:ind w:firstLine="480" w:firstLineChars="200"/>
        <w:rPr>
          <w:rStyle w:val="23"/>
          <w:rFonts w:ascii="宋体" w:hAnsi="宋体"/>
          <w:sz w:val="24"/>
          <w:szCs w:val="24"/>
        </w:rPr>
      </w:pPr>
      <w:r>
        <w:rPr>
          <w:rStyle w:val="23"/>
          <w:rFonts w:ascii="宋体" w:hAnsi="宋体"/>
          <w:sz w:val="24"/>
          <w:szCs w:val="24"/>
        </w:rPr>
        <w:t xml:space="preserve">  f. 普通钢板制成的浮筒上带有抗蚀保护装置。</w:t>
      </w:r>
    </w:p>
    <w:p>
      <w:pPr>
        <w:pStyle w:val="24"/>
        <w:rPr>
          <w:rStyle w:val="23"/>
        </w:rPr>
      </w:pPr>
      <w:r>
        <w:rPr>
          <w:rStyle w:val="23"/>
        </w:rPr>
        <w:t>三、围油栏固定及固定件</w:t>
      </w:r>
    </w:p>
    <w:p>
      <w:pPr>
        <w:pStyle w:val="25"/>
        <w:spacing w:before="0"/>
        <w:rPr>
          <w:rStyle w:val="23"/>
          <w:szCs w:val="28"/>
        </w:rPr>
      </w:pPr>
      <w:r>
        <w:rPr>
          <w:rStyle w:val="23"/>
        </w:rPr>
        <w:t>3.1 围油栏固定方法</w:t>
      </w:r>
    </w:p>
    <w:p>
      <w:pPr>
        <w:spacing w:line="360" w:lineRule="auto"/>
        <w:ind w:firstLine="480" w:firstLineChars="200"/>
        <w:rPr>
          <w:rStyle w:val="23"/>
          <w:rFonts w:ascii="宋体" w:hAnsi="宋体"/>
          <w:sz w:val="24"/>
          <w:szCs w:val="24"/>
        </w:rPr>
      </w:pPr>
      <w:r>
        <w:rPr>
          <w:rStyle w:val="23"/>
          <w:rFonts w:ascii="宋体" w:hAnsi="宋体"/>
          <w:sz w:val="24"/>
          <w:szCs w:val="24"/>
        </w:rPr>
        <w:t>围油栏固定布设可用锚、锚绳、浮漂等定位。锚于围油栏连接见下图。</w:t>
      </w:r>
    </w:p>
    <w:p>
      <w:pPr>
        <w:spacing w:line="360" w:lineRule="auto"/>
        <w:rPr>
          <w:rStyle w:val="23"/>
          <w:rFonts w:ascii="宋体" w:hAnsi="宋体"/>
          <w:sz w:val="24"/>
          <w:szCs w:val="24"/>
        </w:rPr>
      </w:pPr>
      <w:r>
        <w:drawing>
          <wp:inline distT="0" distB="0" distL="0" distR="0">
            <wp:extent cx="5067300" cy="2847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referRelativeResize="0">
                      <a:picLocks noChangeAspect="1" noChangeArrowheads="1"/>
                    </pic:cNvPicPr>
                  </pic:nvPicPr>
                  <pic:blipFill>
                    <a:blip r:embed="rId7" cstate="print"/>
                    <a:srcRect/>
                    <a:stretch>
                      <a:fillRect/>
                    </a:stretch>
                  </pic:blipFill>
                  <pic:spPr>
                    <a:xfrm>
                      <a:off x="0" y="0"/>
                      <a:ext cx="5067300" cy="2847975"/>
                    </a:xfrm>
                    <a:prstGeom prst="rect">
                      <a:avLst/>
                    </a:prstGeom>
                    <a:noFill/>
                    <a:ln w="9525">
                      <a:noFill/>
                      <a:miter lim="800000"/>
                      <a:headEnd/>
                      <a:tailEnd/>
                    </a:ln>
                  </pic:spPr>
                </pic:pic>
              </a:graphicData>
            </a:graphic>
          </wp:inline>
        </w:drawing>
      </w:r>
    </w:p>
    <w:p>
      <w:pPr>
        <w:spacing w:line="360" w:lineRule="auto"/>
        <w:ind w:firstLine="480" w:firstLineChars="200"/>
        <w:rPr>
          <w:rStyle w:val="23"/>
          <w:rFonts w:ascii="宋体" w:hAnsi="宋体"/>
          <w:sz w:val="24"/>
          <w:szCs w:val="24"/>
        </w:rPr>
      </w:pPr>
      <w:r>
        <w:rPr>
          <w:rStyle w:val="23"/>
          <w:rFonts w:ascii="宋体" w:hAnsi="宋体"/>
          <w:sz w:val="24"/>
          <w:szCs w:val="24"/>
        </w:rPr>
        <w:t>锚固着力与锚的类型、锚的大小和水底地质量情况有关，水底土质以粘土为好，沙、泥依次差之。单锚固着力取自重4～20倍。</w:t>
      </w:r>
    </w:p>
    <w:p>
      <w:pPr>
        <w:spacing w:line="360" w:lineRule="auto"/>
        <w:ind w:firstLine="480" w:firstLineChars="200"/>
        <w:rPr>
          <w:rStyle w:val="23"/>
          <w:rFonts w:ascii="宋体" w:hAnsi="宋体"/>
          <w:sz w:val="24"/>
          <w:szCs w:val="24"/>
        </w:rPr>
      </w:pPr>
      <w:r>
        <w:rPr>
          <w:rStyle w:val="23"/>
          <w:rFonts w:ascii="宋体" w:hAnsi="宋体"/>
          <w:sz w:val="24"/>
          <w:szCs w:val="24"/>
        </w:rPr>
        <w:t>锚于围油栏连接见下图。</w:t>
      </w:r>
    </w:p>
    <w:p>
      <w:pPr>
        <w:spacing w:line="360" w:lineRule="auto"/>
        <w:ind w:firstLine="480" w:firstLineChars="200"/>
        <w:rPr>
          <w:rStyle w:val="23"/>
          <w:rFonts w:ascii="宋体" w:hAnsi="宋体"/>
          <w:sz w:val="24"/>
          <w:szCs w:val="24"/>
        </w:rPr>
      </w:pPr>
      <w:r>
        <w:rPr>
          <w:rStyle w:val="23"/>
          <w:rFonts w:ascii="宋体" w:hAnsi="宋体"/>
          <w:sz w:val="24"/>
          <w:szCs w:val="24"/>
        </w:rPr>
        <w:t>锚绳于水面应小于30°或锚绳为水深3倍+5m，锚绳越长越好。锚绳要有足够的强度。锚绳用比水轻的聚乙烯绳，并在水底段用链条或钢丝绳。</w:t>
      </w:r>
    </w:p>
    <w:p>
      <w:pPr>
        <w:spacing w:line="360" w:lineRule="auto"/>
        <w:ind w:firstLine="480" w:firstLineChars="200"/>
        <w:rPr>
          <w:rStyle w:val="23"/>
          <w:rFonts w:ascii="宋体" w:hAnsi="宋体"/>
          <w:sz w:val="24"/>
          <w:szCs w:val="24"/>
        </w:rPr>
      </w:pPr>
      <w:r>
        <w:rPr>
          <w:rStyle w:val="23"/>
          <w:rFonts w:ascii="宋体" w:hAnsi="宋体"/>
          <w:sz w:val="24"/>
          <w:szCs w:val="24"/>
        </w:rPr>
        <w:t>在双向水流的区域要两边下锚定位围油栏。</w:t>
      </w:r>
    </w:p>
    <w:p>
      <w:pPr>
        <w:pStyle w:val="25"/>
        <w:spacing w:before="0"/>
        <w:rPr>
          <w:rStyle w:val="23"/>
        </w:rPr>
      </w:pPr>
      <w:r>
        <w:rPr>
          <w:rStyle w:val="23"/>
        </w:rPr>
        <w:t>3.2 锚</w:t>
      </w:r>
    </w:p>
    <w:p>
      <w:pPr>
        <w:spacing w:line="360" w:lineRule="auto"/>
        <w:ind w:firstLine="480" w:firstLineChars="200"/>
        <w:rPr>
          <w:rStyle w:val="23"/>
          <w:rFonts w:ascii="宋体" w:hAnsi="宋体"/>
          <w:sz w:val="24"/>
          <w:szCs w:val="24"/>
        </w:rPr>
      </w:pPr>
      <w:r>
        <w:rPr>
          <w:rStyle w:val="23"/>
          <w:rFonts w:ascii="宋体" w:hAnsi="宋体"/>
          <w:sz w:val="24"/>
          <w:szCs w:val="24"/>
        </w:rPr>
        <w:t>采用锻造海军锚，锚重为：75Kg，锚的上端带有一个锚卸扣。用来系拉锚绳用。符合标准GB545-1965《海军锚型式和尺寸》及标准GB548-1983《锚技术条件》。</w:t>
      </w:r>
    </w:p>
    <w:p>
      <w:pPr>
        <w:pStyle w:val="25"/>
        <w:spacing w:before="0"/>
        <w:rPr>
          <w:rStyle w:val="23"/>
        </w:rPr>
      </w:pPr>
      <w:r>
        <w:rPr>
          <w:rStyle w:val="23"/>
        </w:rPr>
        <w:t>3.3 14mm锚链</w:t>
      </w:r>
    </w:p>
    <w:p>
      <w:pPr>
        <w:spacing w:line="360" w:lineRule="auto"/>
        <w:ind w:firstLine="480" w:firstLineChars="200"/>
        <w:rPr>
          <w:rStyle w:val="23"/>
          <w:rFonts w:ascii="宋体" w:hAnsi="宋体"/>
          <w:sz w:val="24"/>
          <w:szCs w:val="24"/>
        </w:rPr>
      </w:pPr>
      <w:r>
        <w:rPr>
          <w:rStyle w:val="23"/>
          <w:rFonts w:ascii="宋体" w:hAnsi="宋体"/>
          <w:sz w:val="24"/>
          <w:szCs w:val="24"/>
        </w:rPr>
        <w:t>锚链接在系锚绳和锚之间，减少锚杆被提起的可能，并可防止锚绳被磨断。锚链重量4.25Kg/m，最小破断力69.93KN。符合GB/T549-1996《电焊锚链》标准。</w:t>
      </w:r>
    </w:p>
    <w:p>
      <w:pPr>
        <w:pStyle w:val="25"/>
        <w:spacing w:before="0"/>
        <w:rPr>
          <w:rStyle w:val="23"/>
        </w:rPr>
      </w:pPr>
      <w:r>
        <w:rPr>
          <w:rStyle w:val="23"/>
        </w:rPr>
        <w:t>3.4 28mm、20mm聚乙烯绳</w:t>
      </w:r>
    </w:p>
    <w:p>
      <w:pPr>
        <w:spacing w:line="360" w:lineRule="auto"/>
        <w:ind w:firstLine="480" w:firstLineChars="200"/>
        <w:rPr>
          <w:rStyle w:val="23"/>
          <w:rFonts w:ascii="宋体" w:hAnsi="宋体"/>
          <w:sz w:val="24"/>
          <w:szCs w:val="24"/>
        </w:rPr>
      </w:pPr>
      <w:r>
        <w:rPr>
          <w:rStyle w:val="23"/>
          <w:rFonts w:ascii="宋体" w:hAnsi="宋体"/>
          <w:sz w:val="24"/>
          <w:szCs w:val="24"/>
        </w:rPr>
        <w:t>28mm聚乙烯锚绳系固到锚上，用以拉紧围油栏，抗拉强度大于80KN；20mm聚乙烯起锚绳连接到锚头上，通过浮标可将锚拉出或移动位置。聚乙烯绳具有优良的耐溶剂和耐阳光、紫外线的能力。可保证长期使用。</w:t>
      </w:r>
    </w:p>
    <w:p>
      <w:pPr>
        <w:pStyle w:val="25"/>
        <w:spacing w:before="0"/>
        <w:rPr>
          <w:rStyle w:val="23"/>
        </w:rPr>
      </w:pPr>
      <w:r>
        <w:rPr>
          <w:rStyle w:val="23"/>
        </w:rPr>
        <w:t>3.5 浮标</w:t>
      </w:r>
    </w:p>
    <w:p>
      <w:pPr>
        <w:spacing w:line="360" w:lineRule="auto"/>
        <w:ind w:firstLine="480" w:firstLineChars="200"/>
        <w:rPr>
          <w:rStyle w:val="23"/>
          <w:rFonts w:ascii="宋体" w:hAnsi="宋体"/>
          <w:sz w:val="24"/>
          <w:szCs w:val="24"/>
        </w:rPr>
      </w:pPr>
      <w:r>
        <w:rPr>
          <w:rStyle w:val="23"/>
          <w:rFonts w:ascii="宋体" w:hAnsi="宋体"/>
          <w:sz w:val="24"/>
          <w:szCs w:val="24"/>
        </w:rPr>
        <w:t>锚浮标直径为300mm，有足够的浮力，颜色醒目。便于迅速找到锚的位置。</w:t>
      </w:r>
    </w:p>
    <w:p>
      <w:pPr>
        <w:pStyle w:val="25"/>
        <w:spacing w:before="0"/>
        <w:rPr>
          <w:rStyle w:val="23"/>
        </w:rPr>
      </w:pPr>
      <w:r>
        <w:rPr>
          <w:rStyle w:val="23"/>
        </w:rPr>
        <w:t>3.6  卸扣</w:t>
      </w:r>
    </w:p>
    <w:p>
      <w:pPr>
        <w:spacing w:line="360" w:lineRule="auto"/>
        <w:ind w:firstLine="480" w:firstLineChars="200"/>
        <w:rPr>
          <w:rStyle w:val="23"/>
          <w:rFonts w:ascii="宋体" w:hAnsi="宋体"/>
          <w:sz w:val="24"/>
          <w:szCs w:val="24"/>
        </w:rPr>
      </w:pPr>
      <w:r>
        <w:rPr>
          <w:rStyle w:val="23"/>
          <w:rFonts w:ascii="宋体" w:hAnsi="宋体"/>
          <w:sz w:val="24"/>
          <w:szCs w:val="24"/>
        </w:rPr>
        <w:t>16mm的卸扣用于锚与锚链、锚链与锚绳、锚绳与定为连接浮筒的连接，12mm的卸扣用于锚与起锚绳、起锚绳与浮标的连接，也可用于系拉绳与趸船的连接。卸扣符合标准GB10603-1989《一般起重用锻造卸扣》。</w:t>
      </w:r>
    </w:p>
    <w:p>
      <w:pPr>
        <w:spacing w:line="360" w:lineRule="auto"/>
        <w:rPr>
          <w:rStyle w:val="23"/>
          <w:szCs w:val="24"/>
        </w:rPr>
      </w:pPr>
    </w:p>
    <w:p>
      <w:pPr>
        <w:pStyle w:val="25"/>
        <w:spacing w:before="0"/>
        <w:rPr>
          <w:rStyle w:val="23"/>
        </w:rPr>
      </w:pPr>
      <w:r>
        <w:rPr>
          <w:rStyle w:val="23"/>
        </w:rPr>
        <w:t>四、 WGJ1000固体浮子式橡胶围油栏安装要求</w:t>
      </w:r>
    </w:p>
    <w:p>
      <w:pPr>
        <w:pStyle w:val="26"/>
        <w:rPr>
          <w:rStyle w:val="23"/>
        </w:rPr>
      </w:pPr>
      <w:r>
        <w:rPr>
          <w:rStyle w:val="23"/>
        </w:rPr>
        <w:t>4.1布放围油栏用船</w:t>
      </w:r>
    </w:p>
    <w:p>
      <w:pPr>
        <w:spacing w:line="360" w:lineRule="auto"/>
        <w:ind w:firstLine="420" w:firstLineChars="200"/>
        <w:rPr>
          <w:rStyle w:val="23"/>
          <w:rFonts w:ascii="宋体" w:hAnsi="宋体"/>
          <w:sz w:val="24"/>
          <w:szCs w:val="24"/>
        </w:rPr>
      </w:pPr>
      <w:r>
        <w:drawing>
          <wp:anchor distT="0" distB="0" distL="114300" distR="114300" simplePos="0" relativeHeight="251663360" behindDoc="0" locked="0" layoutInCell="1" allowOverlap="1">
            <wp:simplePos x="0" y="0"/>
            <wp:positionH relativeFrom="column">
              <wp:posOffset>2400300</wp:posOffset>
            </wp:positionH>
            <wp:positionV relativeFrom="paragraph">
              <wp:posOffset>600075</wp:posOffset>
            </wp:positionV>
            <wp:extent cx="3733800" cy="1409700"/>
            <wp:effectExtent l="0" t="0" r="0" b="0"/>
            <wp:wrapSquare wrapText="bothSides"/>
            <wp:docPr id="12" name="图片 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descr="image5"/>
                    <pic:cNvPicPr preferRelativeResize="0">
                      <a:picLocks noChangeAspect="1" noChangeArrowheads="1"/>
                    </pic:cNvPicPr>
                  </pic:nvPicPr>
                  <pic:blipFill>
                    <a:blip r:embed="rId8" cstate="print"/>
                    <a:srcRect/>
                    <a:stretch>
                      <a:fillRect/>
                    </a:stretch>
                  </pic:blipFill>
                  <pic:spPr>
                    <a:xfrm>
                      <a:off x="0" y="0"/>
                      <a:ext cx="3733800" cy="140970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2333625</wp:posOffset>
            </wp:positionH>
            <wp:positionV relativeFrom="paragraph">
              <wp:posOffset>24130</wp:posOffset>
            </wp:positionV>
            <wp:extent cx="3947160" cy="755650"/>
            <wp:effectExtent l="0" t="0" r="15240" b="6350"/>
            <wp:wrapSquare wrapText="bothSides"/>
            <wp:docPr id="11" name="图片 5" descr="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age6"/>
                    <pic:cNvPicPr preferRelativeResize="0">
                      <a:picLocks noChangeAspect="1" noChangeArrowheads="1"/>
                    </pic:cNvPicPr>
                  </pic:nvPicPr>
                  <pic:blipFill>
                    <a:blip r:embed="rId9" cstate="print"/>
                    <a:srcRect/>
                    <a:stretch>
                      <a:fillRect/>
                    </a:stretch>
                  </pic:blipFill>
                  <pic:spPr>
                    <a:xfrm>
                      <a:off x="0" y="0"/>
                      <a:ext cx="3947160" cy="755650"/>
                    </a:xfrm>
                    <a:prstGeom prst="rect">
                      <a:avLst/>
                    </a:prstGeom>
                    <a:noFill/>
                    <a:ln>
                      <a:noFill/>
                    </a:ln>
                  </pic:spPr>
                </pic:pic>
              </a:graphicData>
            </a:graphic>
          </wp:anchor>
        </w:drawing>
      </w:r>
      <w:r>
        <w:rPr>
          <w:rStyle w:val="23"/>
          <w:rFonts w:ascii="宋体" w:hAnsi="宋体"/>
          <w:sz w:val="24"/>
          <w:szCs w:val="24"/>
        </w:rPr>
        <w:t xml:space="preserve">WGJ1000固体浮子式橡胶围油栏可从船上向水中布放，需一条主船和一条拖船。（见右图）。      </w:t>
      </w:r>
    </w:p>
    <w:p>
      <w:pPr>
        <w:spacing w:line="360" w:lineRule="auto"/>
        <w:ind w:firstLine="420" w:firstLineChars="200"/>
        <w:rPr>
          <w:rStyle w:val="23"/>
          <w:rFonts w:ascii="宋体" w:hAnsi="宋体"/>
          <w:sz w:val="24"/>
          <w:szCs w:val="24"/>
        </w:rPr>
      </w:pPr>
      <w:r>
        <w:rPr>
          <w:rStyle w:val="23"/>
        </w:rPr>
        <w:pict>
          <v:shape id="_x0000_s2051" o:spid="_x0000_s2051" o:spt="202" type="#_x0000_t202" style="position:absolute;left:0pt;margin-left:288pt;margin-top:54.3pt;height:109.2pt;width:126pt;mso-wrap-distance-bottom:0pt;mso-wrap-distance-left:9pt;mso-wrap-distance-right:9pt;mso-wrap-distance-top:0pt;z-index:251669504;mso-width-relative:page;mso-height-relative:page;" filled="f" stroked="t" coordsize="21600,21600">
            <v:path/>
            <v:fill on="f" focussize="0,0"/>
            <v:stroke color="#FFFFFF" joinstyle="miter"/>
            <v:imagedata o:title=""/>
            <o:lock v:ext="edit"/>
            <v:textbox>
              <w:txbxContent>
                <w:p>
                  <w:pPr>
                    <w:rPr>
                      <w:rStyle w:val="23"/>
                    </w:rPr>
                  </w:pPr>
                  <w:r>
                    <w:rPr>
                      <w:rFonts w:ascii="Arial" w:hAnsi="Arial"/>
                    </w:rPr>
                    <w:drawing>
                      <wp:inline distT="0" distB="0" distL="0" distR="0">
                        <wp:extent cx="1628775" cy="1438275"/>
                        <wp:effectExtent l="0" t="0" r="9525" b="952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preferRelativeResize="0">
                                  <a:picLocks noChangeAspect="1" noChangeArrowheads="1"/>
                                </pic:cNvPicPr>
                              </pic:nvPicPr>
                              <pic:blipFill>
                                <a:blip r:embed="rId10"/>
                                <a:srcRect b="16991"/>
                                <a:stretch>
                                  <a:fillRect/>
                                </a:stretch>
                              </pic:blipFill>
                              <pic:spPr>
                                <a:xfrm>
                                  <a:off x="0" y="0"/>
                                  <a:ext cx="1628775" cy="1438275"/>
                                </a:xfrm>
                                <a:prstGeom prst="rect">
                                  <a:avLst/>
                                </a:prstGeom>
                                <a:noFill/>
                                <a:ln w="9525">
                                  <a:noFill/>
                                  <a:miter lim="800000"/>
                                  <a:headEnd/>
                                  <a:tailEnd/>
                                </a:ln>
                              </pic:spPr>
                            </pic:pic>
                          </a:graphicData>
                        </a:graphic>
                      </wp:inline>
                    </w:drawing>
                  </w:r>
                </w:p>
                <w:p>
                  <w:pPr>
                    <w:rPr>
                      <w:rStyle w:val="23"/>
                    </w:rPr>
                  </w:pPr>
                </w:p>
                <w:p>
                  <w:pPr>
                    <w:rPr>
                      <w:rStyle w:val="23"/>
                    </w:rPr>
                  </w:pPr>
                </w:p>
              </w:txbxContent>
            </v:textbox>
            <w10:wrap type="square"/>
          </v:shape>
        </w:pict>
      </w:r>
      <w:r>
        <w:rPr>
          <w:rStyle w:val="23"/>
          <w:rFonts w:ascii="宋体" w:hAnsi="宋体"/>
          <w:sz w:val="24"/>
          <w:szCs w:val="24"/>
        </w:rPr>
        <w:t>围油栏也可从岸(或码头)向水中布放。从岸上（或码头）向水中布放需一条拖船（见右图）。</w:t>
      </w:r>
    </w:p>
    <w:p>
      <w:pPr>
        <w:spacing w:line="360" w:lineRule="auto"/>
        <w:rPr>
          <w:rStyle w:val="23"/>
          <w:rFonts w:ascii="宋体" w:hAnsi="宋体"/>
          <w:sz w:val="24"/>
          <w:szCs w:val="24"/>
        </w:rPr>
      </w:pPr>
      <w:r>
        <w:rPr>
          <w:rStyle w:val="23"/>
          <w:rFonts w:ascii="宋体" w:hAnsi="宋体"/>
          <w:sz w:val="24"/>
          <w:szCs w:val="24"/>
        </w:rPr>
        <w:tab/>
      </w:r>
      <w:r>
        <w:rPr>
          <w:rStyle w:val="23"/>
          <w:rFonts w:ascii="宋体" w:hAnsi="宋体"/>
          <w:sz w:val="24"/>
          <w:szCs w:val="24"/>
        </w:rPr>
        <w:t>从主船上或从岸上（或码头）向水中布放时，船的后甲板或地面应平整光滑，其面积应能排布好设备。后甲板或岸边（码头）边缘应圆滑。最好加装滑道或滚子（见右图）。</w:t>
      </w:r>
    </w:p>
    <w:p>
      <w:pPr>
        <w:pStyle w:val="26"/>
        <w:rPr>
          <w:rStyle w:val="23"/>
        </w:rPr>
      </w:pPr>
      <w:r>
        <w:rPr>
          <w:rStyle w:val="23"/>
        </w:rPr>
        <w:t>4.2 围油栏连接</w:t>
      </w:r>
    </w:p>
    <w:p>
      <w:pPr>
        <w:spacing w:line="360" w:lineRule="auto"/>
        <w:ind w:firstLine="480" w:firstLineChars="200"/>
        <w:rPr>
          <w:rStyle w:val="23"/>
          <w:rFonts w:ascii="宋体" w:hAnsi="宋体"/>
          <w:sz w:val="24"/>
          <w:szCs w:val="24"/>
        </w:rPr>
      </w:pPr>
      <w:r>
        <w:rPr>
          <w:rStyle w:val="23"/>
          <w:rFonts w:ascii="宋体" w:hAnsi="宋体"/>
          <w:sz w:val="24"/>
          <w:szCs w:val="24"/>
        </w:rPr>
        <w:t>出厂的围油栏均是20米为一节，一般是在岸上或甲板上将围油栏节连接成所需的长度。</w:t>
      </w:r>
    </w:p>
    <w:p>
      <w:pPr>
        <w:spacing w:line="360" w:lineRule="auto"/>
        <w:rPr>
          <w:rStyle w:val="23"/>
          <w:rFonts w:ascii="宋体" w:hAnsi="宋体"/>
          <w:sz w:val="24"/>
          <w:szCs w:val="24"/>
        </w:rPr>
      </w:pPr>
      <w:r>
        <w:rPr>
          <w:rStyle w:val="23"/>
          <w:rFonts w:ascii="宋体" w:hAnsi="宋体"/>
          <w:sz w:val="24"/>
          <w:szCs w:val="24"/>
        </w:rPr>
        <w:t xml:space="preserve">   接头的连接方法：把接头各孔对正以后，并用连接压板、固锚座固定即可。</w:t>
      </w:r>
    </w:p>
    <w:p>
      <w:pPr>
        <w:pStyle w:val="25"/>
        <w:spacing w:before="0"/>
        <w:rPr>
          <w:rStyle w:val="23"/>
        </w:rPr>
      </w:pPr>
      <w:r>
        <w:rPr>
          <w:rStyle w:val="23"/>
        </w:rPr>
        <w:t>4.3 操作和维护概要</w:t>
      </w:r>
    </w:p>
    <w:p>
      <w:pPr>
        <w:pStyle w:val="26"/>
        <w:rPr>
          <w:rStyle w:val="23"/>
        </w:rPr>
      </w:pPr>
      <w:r>
        <w:rPr>
          <w:rStyle w:val="23"/>
        </w:rPr>
        <w:t>4.3.1 围油栏拖动扫油</w:t>
      </w:r>
    </w:p>
    <w:p>
      <w:pPr>
        <w:spacing w:line="400" w:lineRule="exact"/>
        <w:rPr>
          <w:rStyle w:val="23"/>
          <w:rFonts w:ascii="宋体" w:hAnsi="宋体"/>
          <w:sz w:val="24"/>
          <w:szCs w:val="24"/>
        </w:rPr>
      </w:pPr>
      <w:r>
        <w:rPr>
          <w:rStyle w:val="23"/>
          <w:rFonts w:ascii="宋体" w:hAnsi="宋体"/>
          <w:sz w:val="24"/>
          <w:szCs w:val="24"/>
        </w:rPr>
        <w:t xml:space="preserve"> 　 常用的有U（V）型和J型双船托动(见下页图)，或用单船拖带。可以双侧拖栏，单船拖动扫油宽度可达几米至几十米。双船拖带所用围油栏可达几百米。拖带速度不可过快，一般&lt;2.0米/秒，还应根据围油栏长度方向抗拉力确定。</w:t>
      </w:r>
    </w:p>
    <w:p>
      <w:pPr>
        <w:spacing w:line="400" w:lineRule="exact"/>
        <w:rPr>
          <w:rStyle w:val="23"/>
          <w:rFonts w:ascii="宋体" w:hAnsi="宋体"/>
          <w:sz w:val="24"/>
          <w:szCs w:val="24"/>
        </w:rPr>
      </w:pPr>
      <w:r>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180965" cy="1812925"/>
            <wp:effectExtent l="0" t="0" r="635" b="15875"/>
            <wp:wrapTopAndBottom/>
            <wp:docPr id="5" name="图片 3" descr="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age8"/>
                    <pic:cNvPicPr preferRelativeResize="0">
                      <a:picLocks noChangeAspect="1" noChangeArrowheads="1"/>
                    </pic:cNvPicPr>
                  </pic:nvPicPr>
                  <pic:blipFill>
                    <a:blip r:embed="rId11" cstate="print"/>
                    <a:srcRect/>
                    <a:stretch>
                      <a:fillRect/>
                    </a:stretch>
                  </pic:blipFill>
                  <pic:spPr>
                    <a:xfrm>
                      <a:off x="0" y="0"/>
                      <a:ext cx="5180965" cy="1812925"/>
                    </a:xfrm>
                    <a:prstGeom prst="rect">
                      <a:avLst/>
                    </a:prstGeom>
                    <a:noFill/>
                    <a:ln>
                      <a:noFill/>
                    </a:ln>
                  </pic:spPr>
                </pic:pic>
              </a:graphicData>
            </a:graphic>
          </wp:anchor>
        </w:drawing>
      </w:r>
      <w:r>
        <w:rPr>
          <w:rStyle w:val="23"/>
          <w:rFonts w:ascii="宋体" w:hAnsi="宋体"/>
          <w:sz w:val="24"/>
          <w:szCs w:val="24"/>
        </w:rPr>
        <w:t xml:space="preserve">    拖带总拖力T的计算如下：</w:t>
      </w:r>
    </w:p>
    <w:p>
      <w:pPr>
        <w:spacing w:line="400" w:lineRule="exact"/>
        <w:rPr>
          <w:rStyle w:val="23"/>
          <w:rFonts w:ascii="宋体" w:hAnsi="宋体"/>
          <w:sz w:val="24"/>
          <w:szCs w:val="24"/>
        </w:rPr>
      </w:pPr>
      <w:r>
        <w:rPr>
          <w:rStyle w:val="23"/>
          <w:rFonts w:ascii="宋体" w:hAnsi="宋体"/>
          <w:sz w:val="24"/>
          <w:szCs w:val="24"/>
        </w:rPr>
        <w:t>　　</w:t>
      </w:r>
      <w:r>
        <w:rPr>
          <w:rStyle w:val="23"/>
          <w:rFonts w:ascii="宋体" w:hAnsi="宋体"/>
          <w:sz w:val="24"/>
          <w:szCs w:val="24"/>
        </w:rPr>
        <w:tab/>
      </w:r>
      <w:r>
        <w:rPr>
          <w:rStyle w:val="23"/>
          <w:rFonts w:ascii="宋体" w:hAnsi="宋体"/>
          <w:sz w:val="24"/>
          <w:szCs w:val="24"/>
        </w:rPr>
        <w:t>T=1000FV</w:t>
      </w:r>
      <w:r>
        <w:rPr>
          <w:rStyle w:val="23"/>
          <w:rFonts w:ascii="宋体" w:hAnsi="宋体"/>
          <w:sz w:val="24"/>
          <w:szCs w:val="24"/>
          <w:vertAlign w:val="superscript"/>
        </w:rPr>
        <w:t>2</w:t>
      </w:r>
      <w:r>
        <w:rPr>
          <w:rStyle w:val="23"/>
          <w:rFonts w:ascii="宋体" w:hAnsi="宋体"/>
          <w:sz w:val="24"/>
          <w:szCs w:val="24"/>
        </w:rPr>
        <w:t>......(1)   T 总拖力　　　　          N　</w:t>
      </w:r>
    </w:p>
    <w:p>
      <w:pPr>
        <w:spacing w:line="400" w:lineRule="exact"/>
        <w:rPr>
          <w:rStyle w:val="23"/>
          <w:rFonts w:ascii="宋体" w:hAnsi="宋体"/>
          <w:sz w:val="24"/>
          <w:szCs w:val="24"/>
        </w:rPr>
      </w:pPr>
      <w:r>
        <w:rPr>
          <w:rStyle w:val="23"/>
          <w:rFonts w:ascii="宋体" w:hAnsi="宋体"/>
          <w:sz w:val="24"/>
          <w:szCs w:val="24"/>
        </w:rPr>
        <w:t xml:space="preserve">                           </w:t>
      </w:r>
      <w:r>
        <w:rPr>
          <w:rStyle w:val="23"/>
          <w:rFonts w:ascii="宋体" w:hAnsi="宋体"/>
          <w:sz w:val="24"/>
          <w:szCs w:val="24"/>
        </w:rPr>
        <w:tab/>
      </w:r>
      <w:r>
        <w:rPr>
          <w:rStyle w:val="23"/>
          <w:rFonts w:ascii="宋体" w:hAnsi="宋体"/>
          <w:sz w:val="24"/>
          <w:szCs w:val="24"/>
        </w:rPr>
        <w:t>F 围油栏水下阻力面积　    m</w:t>
      </w:r>
      <w:r>
        <w:rPr>
          <w:rStyle w:val="23"/>
          <w:rFonts w:ascii="宋体" w:hAnsi="宋体"/>
          <w:sz w:val="24"/>
          <w:szCs w:val="24"/>
          <w:vertAlign w:val="superscript"/>
        </w:rPr>
        <w:t>2</w:t>
      </w:r>
    </w:p>
    <w:p>
      <w:pPr>
        <w:spacing w:line="400" w:lineRule="exact"/>
        <w:rPr>
          <w:rStyle w:val="23"/>
          <w:rFonts w:ascii="宋体" w:hAnsi="宋体"/>
          <w:sz w:val="24"/>
          <w:szCs w:val="24"/>
        </w:rPr>
      </w:pPr>
      <w:r>
        <w:rPr>
          <w:rStyle w:val="23"/>
          <w:rFonts w:ascii="宋体" w:hAnsi="宋体"/>
          <w:sz w:val="24"/>
          <w:szCs w:val="24"/>
        </w:rPr>
        <w:t xml:space="preserve">                           </w:t>
      </w:r>
      <w:r>
        <w:rPr>
          <w:rStyle w:val="23"/>
          <w:rFonts w:ascii="宋体" w:hAnsi="宋体"/>
          <w:sz w:val="24"/>
          <w:szCs w:val="24"/>
        </w:rPr>
        <w:tab/>
      </w:r>
      <w:r>
        <w:rPr>
          <w:rStyle w:val="23"/>
          <w:rFonts w:ascii="宋体" w:hAnsi="宋体"/>
          <w:sz w:val="24"/>
          <w:szCs w:val="24"/>
        </w:rPr>
        <w:t>V 水流对围油栏相对速度　 m/s</w:t>
      </w:r>
    </w:p>
    <w:p>
      <w:pPr>
        <w:spacing w:line="400" w:lineRule="exact"/>
        <w:rPr>
          <w:rStyle w:val="23"/>
          <w:rFonts w:ascii="宋体" w:hAnsi="宋体"/>
          <w:sz w:val="24"/>
          <w:szCs w:val="24"/>
        </w:rPr>
      </w:pPr>
      <w:r>
        <w:rPr>
          <w:rStyle w:val="23"/>
          <w:rFonts w:ascii="宋体" w:hAnsi="宋体"/>
          <w:sz w:val="24"/>
          <w:szCs w:val="24"/>
        </w:rPr>
        <w:t>　　可根据围油栏强度和围油栏规格和扫油宽度确定拖速V，再根据拖力T和拖速V确定拖船所需总功率N     N=TV (W)......(2)</w:t>
      </w:r>
    </w:p>
    <w:p>
      <w:pPr>
        <w:spacing w:line="400" w:lineRule="exact"/>
        <w:rPr>
          <w:rStyle w:val="23"/>
          <w:rFonts w:ascii="宋体" w:hAnsi="宋体"/>
          <w:sz w:val="24"/>
          <w:szCs w:val="24"/>
        </w:rPr>
      </w:pPr>
      <w:r>
        <w:rPr>
          <w:rStyle w:val="23"/>
          <w:rFonts w:ascii="宋体" w:hAnsi="宋体"/>
          <w:sz w:val="24"/>
          <w:szCs w:val="24"/>
        </w:rPr>
        <w:t xml:space="preserve">    一般经验为               N=0.0037T (kW)......　　　　</w:t>
      </w:r>
    </w:p>
    <w:p>
      <w:pPr>
        <w:spacing w:line="400" w:lineRule="exact"/>
        <w:rPr>
          <w:rStyle w:val="23"/>
          <w:rFonts w:ascii="宋体" w:hAnsi="宋体"/>
          <w:sz w:val="24"/>
          <w:szCs w:val="24"/>
        </w:rPr>
      </w:pPr>
      <w:r>
        <w:rPr>
          <w:rStyle w:val="23"/>
          <w:rFonts w:ascii="宋体" w:hAnsi="宋体"/>
          <w:sz w:val="24"/>
          <w:szCs w:val="24"/>
        </w:rPr>
        <w:t xml:space="preserve">    双船拖带时一般每船功率不小于0.5N。</w:t>
      </w:r>
    </w:p>
    <w:p>
      <w:pPr>
        <w:pStyle w:val="26"/>
        <w:rPr>
          <w:rStyle w:val="23"/>
        </w:rPr>
      </w:pPr>
      <w:r>
        <w:rPr>
          <w:rStyle w:val="23"/>
        </w:rPr>
        <w:t>4.3.2 围油栏固定布置</w:t>
      </w:r>
    </w:p>
    <w:p>
      <w:pPr>
        <w:spacing w:line="400" w:lineRule="exact"/>
        <w:rPr>
          <w:rStyle w:val="23"/>
          <w:rFonts w:ascii="宋体" w:hAnsi="宋体"/>
          <w:sz w:val="24"/>
          <w:szCs w:val="24"/>
        </w:rPr>
      </w:pPr>
      <w:r>
        <w:drawing>
          <wp:anchor distT="0" distB="0" distL="114300" distR="114300" simplePos="0" relativeHeight="251664384" behindDoc="0" locked="0" layoutInCell="1" allowOverlap="1">
            <wp:simplePos x="0" y="0"/>
            <wp:positionH relativeFrom="column">
              <wp:posOffset>200025</wp:posOffset>
            </wp:positionH>
            <wp:positionV relativeFrom="paragraph">
              <wp:posOffset>23495</wp:posOffset>
            </wp:positionV>
            <wp:extent cx="5914390" cy="3000375"/>
            <wp:effectExtent l="0" t="0" r="10160" b="9525"/>
            <wp:wrapSquare wrapText="bothSides"/>
            <wp:docPr id="7" name="图片 7" descr="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9"/>
                    <pic:cNvPicPr preferRelativeResize="0">
                      <a:picLocks noChangeAspect="1" noChangeArrowheads="1"/>
                    </pic:cNvPicPr>
                  </pic:nvPicPr>
                  <pic:blipFill>
                    <a:blip r:embed="rId12" cstate="print"/>
                    <a:srcRect/>
                    <a:stretch>
                      <a:fillRect/>
                    </a:stretch>
                  </pic:blipFill>
                  <pic:spPr>
                    <a:xfrm>
                      <a:off x="0" y="0"/>
                      <a:ext cx="5914390" cy="3000375"/>
                    </a:xfrm>
                    <a:prstGeom prst="rect">
                      <a:avLst/>
                    </a:prstGeom>
                    <a:noFill/>
                    <a:ln>
                      <a:noFill/>
                    </a:ln>
                  </pic:spPr>
                </pic:pic>
              </a:graphicData>
            </a:graphic>
          </wp:anchor>
        </w:drawing>
      </w:r>
      <w:r>
        <w:rPr>
          <w:rStyle w:val="23"/>
          <w:rFonts w:ascii="宋体" w:hAnsi="宋体"/>
          <w:sz w:val="24"/>
          <w:szCs w:val="24"/>
        </w:rPr>
        <w:t>河流中可以布放二道以上围油拦能更好拦截溢油。横跨河沟使用时，注意应与河沟呈一定斜度布置围油栏，两端头应高于最高（可能达到的）水位处固栏，特别应防止浮油从栏的两端边缘冲走。</w:t>
      </w:r>
    </w:p>
    <w:p>
      <w:pPr>
        <w:spacing w:line="400" w:lineRule="exact"/>
        <w:rPr>
          <w:rStyle w:val="23"/>
          <w:rFonts w:ascii="宋体" w:hAnsi="宋体"/>
          <w:sz w:val="24"/>
          <w:szCs w:val="24"/>
        </w:rPr>
      </w:pPr>
      <w:r>
        <w:rPr>
          <w:rStyle w:val="23"/>
          <w:rFonts w:ascii="宋体" w:hAnsi="宋体"/>
          <w:sz w:val="24"/>
          <w:szCs w:val="24"/>
        </w:rPr>
        <w:t xml:space="preserve">    围油栏长度(估算)  O型布栏　围油栏长度≈（船长+船宽+50m）×2..(3)</w:t>
      </w:r>
    </w:p>
    <w:p>
      <w:pPr>
        <w:spacing w:line="400" w:lineRule="exact"/>
        <w:rPr>
          <w:rStyle w:val="23"/>
          <w:rFonts w:ascii="宋体" w:hAnsi="宋体"/>
          <w:sz w:val="24"/>
          <w:szCs w:val="24"/>
        </w:rPr>
      </w:pPr>
      <w:r>
        <w:rPr>
          <w:rStyle w:val="23"/>
          <w:rFonts w:ascii="宋体" w:hAnsi="宋体"/>
          <w:sz w:val="24"/>
          <w:szCs w:val="24"/>
        </w:rPr>
        <w:t xml:space="preserve">                      C型布栏  围油栏长度≈船长+船宽+60～100m..  (4)</w:t>
      </w:r>
    </w:p>
    <w:p>
      <w:pPr>
        <w:spacing w:line="400" w:lineRule="exact"/>
        <w:rPr>
          <w:rStyle w:val="23"/>
          <w:rFonts w:ascii="宋体" w:hAnsi="宋体"/>
          <w:sz w:val="24"/>
          <w:szCs w:val="24"/>
        </w:rPr>
      </w:pPr>
      <w:r>
        <w:rPr>
          <w:rStyle w:val="23"/>
          <w:rFonts w:ascii="宋体" w:hAnsi="宋体"/>
          <w:sz w:val="24"/>
          <w:szCs w:val="24"/>
        </w:rPr>
        <w:tab/>
      </w:r>
      <w:r>
        <w:rPr>
          <w:rStyle w:val="23"/>
          <w:rFonts w:ascii="宋体" w:hAnsi="宋体"/>
          <w:sz w:val="24"/>
          <w:szCs w:val="24"/>
        </w:rPr>
        <w:t>在不允许用锚的地方，围油栏离船最小可达2m。</w:t>
      </w:r>
    </w:p>
    <w:p>
      <w:pPr>
        <w:spacing w:line="400" w:lineRule="exact"/>
        <w:rPr>
          <w:rStyle w:val="23"/>
          <w:rFonts w:ascii="宋体" w:hAnsi="宋体"/>
          <w:sz w:val="24"/>
          <w:szCs w:val="24"/>
        </w:rPr>
      </w:pPr>
      <w:r>
        <w:rPr>
          <w:rStyle w:val="23"/>
          <w:rFonts w:ascii="宋体" w:hAnsi="宋体"/>
          <w:sz w:val="24"/>
          <w:szCs w:val="24"/>
        </w:rPr>
        <w:t xml:space="preserve">      围油栏固定布设可用辅助装置有：浮动隔离装置、定位连接浮桶、撑环、撑杆、锚、锚绳、浮漂、快接头、拖头等。(使用见下叙述)</w:t>
      </w:r>
    </w:p>
    <w:p>
      <w:pPr>
        <w:spacing w:line="400" w:lineRule="exact"/>
        <w:ind w:firstLine="720"/>
        <w:rPr>
          <w:rStyle w:val="23"/>
          <w:rFonts w:ascii="宋体" w:hAnsi="宋体"/>
          <w:sz w:val="24"/>
          <w:szCs w:val="24"/>
        </w:rPr>
      </w:pPr>
      <w:r>
        <w:rPr>
          <w:rStyle w:val="23"/>
          <w:rFonts w:ascii="宋体" w:hAnsi="宋体"/>
          <w:sz w:val="24"/>
          <w:szCs w:val="24"/>
        </w:rPr>
        <w:t>锚、锚的数量和锚绳的选择如下：</w:t>
      </w:r>
    </w:p>
    <w:p>
      <w:pPr>
        <w:spacing w:line="400" w:lineRule="exact"/>
        <w:rPr>
          <w:rStyle w:val="23"/>
          <w:rFonts w:ascii="宋体" w:hAnsi="宋体"/>
          <w:sz w:val="24"/>
          <w:szCs w:val="24"/>
        </w:rPr>
      </w:pPr>
      <w:r>
        <w:rPr>
          <w:rStyle w:val="23"/>
          <w:rFonts w:ascii="宋体" w:hAnsi="宋体"/>
          <w:sz w:val="24"/>
          <w:szCs w:val="24"/>
        </w:rPr>
        <w:t xml:space="preserve">    按式(1)计算围油栏总的锚固着力T总</w:t>
      </w:r>
    </w:p>
    <w:p>
      <w:pPr>
        <w:spacing w:line="400" w:lineRule="exact"/>
        <w:rPr>
          <w:rStyle w:val="23"/>
          <w:rFonts w:ascii="宋体" w:hAnsi="宋体"/>
          <w:sz w:val="24"/>
          <w:szCs w:val="24"/>
        </w:rPr>
      </w:pPr>
      <w:r>
        <w:rPr>
          <w:rStyle w:val="23"/>
          <w:rFonts w:ascii="宋体" w:hAnsi="宋体"/>
          <w:sz w:val="24"/>
          <w:szCs w:val="24"/>
        </w:rPr>
        <w:t xml:space="preserve">    锚数  　n=T总／T锚......(5)    T总－总的锚固着力　　　N</w:t>
      </w:r>
    </w:p>
    <w:p>
      <w:pPr>
        <w:spacing w:line="400" w:lineRule="exact"/>
        <w:rPr>
          <w:rStyle w:val="23"/>
          <w:rFonts w:ascii="宋体" w:hAnsi="宋体"/>
          <w:sz w:val="24"/>
          <w:szCs w:val="24"/>
        </w:rPr>
      </w:pPr>
      <w:r>
        <w:rPr>
          <w:rStyle w:val="23"/>
          <w:rFonts w:ascii="宋体" w:hAnsi="宋体"/>
          <w:sz w:val="24"/>
          <w:szCs w:val="24"/>
        </w:rPr>
        <w:t xml:space="preserve">                                    T锚－单锚固着力　　　　N</w:t>
      </w:r>
    </w:p>
    <w:p>
      <w:pPr>
        <w:spacing w:line="400" w:lineRule="exact"/>
        <w:rPr>
          <w:rStyle w:val="23"/>
          <w:rFonts w:ascii="宋体" w:hAnsi="宋体"/>
          <w:sz w:val="24"/>
          <w:szCs w:val="24"/>
        </w:rPr>
      </w:pPr>
      <w:r>
        <w:rPr>
          <w:rStyle w:val="23"/>
          <w:rFonts w:ascii="宋体" w:hAnsi="宋体"/>
          <w:sz w:val="24"/>
          <w:szCs w:val="24"/>
        </w:rPr>
        <w:t xml:space="preserve">                        　　　　    n  － 锚的数量</w:t>
      </w:r>
    </w:p>
    <w:p>
      <w:pPr>
        <w:spacing w:line="400" w:lineRule="exact"/>
        <w:rPr>
          <w:rStyle w:val="23"/>
          <w:rFonts w:ascii="宋体" w:hAnsi="宋体"/>
          <w:sz w:val="24"/>
          <w:szCs w:val="24"/>
        </w:rPr>
      </w:pPr>
      <w:r>
        <w:drawing>
          <wp:anchor distT="0" distB="0" distL="114300" distR="114300" simplePos="0" relativeHeight="251665408" behindDoc="0" locked="0" layoutInCell="1" allowOverlap="1">
            <wp:simplePos x="0" y="0"/>
            <wp:positionH relativeFrom="page">
              <wp:posOffset>2743200</wp:posOffset>
            </wp:positionH>
            <wp:positionV relativeFrom="paragraph">
              <wp:posOffset>88900</wp:posOffset>
            </wp:positionV>
            <wp:extent cx="4133850" cy="2314575"/>
            <wp:effectExtent l="0" t="0" r="0" b="9525"/>
            <wp:wrapSquare wrapText="bothSides"/>
            <wp:docPr id="8" name="图片 8" descr="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age10"/>
                    <pic:cNvPicPr preferRelativeResize="0">
                      <a:picLocks noChangeAspect="1" noChangeArrowheads="1"/>
                    </pic:cNvPicPr>
                  </pic:nvPicPr>
                  <pic:blipFill>
                    <a:blip r:embed="rId13" cstate="print"/>
                    <a:srcRect/>
                    <a:stretch>
                      <a:fillRect/>
                    </a:stretch>
                  </pic:blipFill>
                  <pic:spPr>
                    <a:xfrm>
                      <a:off x="0" y="0"/>
                      <a:ext cx="4133850" cy="2314575"/>
                    </a:xfrm>
                    <a:prstGeom prst="rect">
                      <a:avLst/>
                    </a:prstGeom>
                    <a:noFill/>
                    <a:ln>
                      <a:noFill/>
                    </a:ln>
                  </pic:spPr>
                </pic:pic>
              </a:graphicData>
            </a:graphic>
          </wp:anchor>
        </w:drawing>
      </w:r>
      <w:r>
        <w:rPr>
          <w:rStyle w:val="23"/>
          <w:rFonts w:ascii="宋体" w:hAnsi="宋体"/>
          <w:sz w:val="24"/>
          <w:szCs w:val="24"/>
        </w:rPr>
        <w:t xml:space="preserve">    单锚固着力与锚的类型、锚的大小和水底地质量情况有关，水底土质以粘土为好，沙、泥依次差之。单锚固着力取自重4～20倍。一般40m长围油栏设一个锚(单向潮流)可酌情增大锚重，减少锚数。</w:t>
      </w:r>
    </w:p>
    <w:p>
      <w:pPr>
        <w:spacing w:line="400" w:lineRule="exact"/>
        <w:rPr>
          <w:rStyle w:val="23"/>
          <w:rFonts w:ascii="宋体" w:hAnsi="宋体"/>
          <w:sz w:val="24"/>
          <w:szCs w:val="24"/>
        </w:rPr>
      </w:pPr>
      <w:r>
        <w:rPr>
          <w:rStyle w:val="23"/>
          <w:rFonts w:ascii="宋体" w:hAnsi="宋体"/>
          <w:sz w:val="24"/>
          <w:szCs w:val="24"/>
        </w:rPr>
        <w:t xml:space="preserve">    锚绳于水面约30°或锚绳为水深3倍+5m，锚绳要有足够的强度。锚绳可用比水轻的聚乙烯绳、聚丙烯绳，可用链条和钢丝绳代替,也可以在水底段用链条或钢丝绳，其余用塑料绳。用塑料绳时，各连接部位应有防磨擦处理，防止锚绳磨断。</w:t>
      </w:r>
    </w:p>
    <w:p>
      <w:pPr>
        <w:spacing w:line="400" w:lineRule="exact"/>
        <w:rPr>
          <w:rStyle w:val="23"/>
          <w:rFonts w:ascii="宋体" w:hAnsi="宋体"/>
          <w:sz w:val="24"/>
          <w:szCs w:val="24"/>
        </w:rPr>
      </w:pPr>
      <w:r>
        <w:rPr>
          <w:rStyle w:val="23"/>
          <w:rFonts w:ascii="宋体" w:hAnsi="宋体"/>
          <w:sz w:val="24"/>
          <w:szCs w:val="24"/>
        </w:rPr>
        <w:t xml:space="preserve">    有时可以用混凝土等重物代替锚，此时重物重量应为锚固着力的三倍以上。</w:t>
      </w:r>
    </w:p>
    <w:p>
      <w:pPr>
        <w:pStyle w:val="26"/>
        <w:rPr>
          <w:rStyle w:val="23"/>
        </w:rPr>
      </w:pPr>
      <w:r>
        <w:rPr>
          <w:rStyle w:val="23"/>
        </w:rPr>
        <w:t>4.3.3 围油栏的投放、拖带和展开</w:t>
      </w:r>
    </w:p>
    <w:p>
      <w:pPr>
        <w:spacing w:line="400" w:lineRule="exact"/>
        <w:rPr>
          <w:rStyle w:val="23"/>
          <w:rFonts w:ascii="宋体" w:hAnsi="宋体"/>
          <w:sz w:val="24"/>
          <w:szCs w:val="24"/>
        </w:rPr>
      </w:pPr>
      <w:r>
        <w:rPr>
          <w:rStyle w:val="23"/>
          <w:rFonts w:ascii="宋体" w:hAnsi="宋体"/>
          <w:sz w:val="24"/>
          <w:szCs w:val="24"/>
        </w:rPr>
        <w:t xml:space="preserve"> (1)围油栏的连接</w:t>
      </w:r>
    </w:p>
    <w:p>
      <w:pPr>
        <w:spacing w:line="400" w:lineRule="exact"/>
        <w:rPr>
          <w:rStyle w:val="23"/>
          <w:rFonts w:ascii="宋体" w:hAnsi="宋体"/>
          <w:sz w:val="24"/>
          <w:szCs w:val="24"/>
        </w:rPr>
      </w:pPr>
      <w:r>
        <w:rPr>
          <w:rStyle w:val="23"/>
          <w:rFonts w:ascii="宋体" w:hAnsi="宋体"/>
          <w:sz w:val="24"/>
          <w:szCs w:val="24"/>
        </w:rPr>
        <w:t xml:space="preserve">    出厂的围油栏均是20米(或10米)为一节，一般是在岸上或甲板上将围油栏节连接成所需的长度。也可把连接成一定的长度围油栏放入水中，用船拖到使用水区，然后把各条围油栏连接起来。</w:t>
      </w:r>
    </w:p>
    <w:p>
      <w:pPr>
        <w:spacing w:line="400" w:lineRule="exact"/>
        <w:rPr>
          <w:rStyle w:val="23"/>
          <w:rFonts w:ascii="宋体" w:hAnsi="宋体"/>
          <w:sz w:val="24"/>
          <w:szCs w:val="24"/>
        </w:rPr>
      </w:pPr>
      <w:r>
        <w:rPr>
          <w:rStyle w:val="23"/>
          <w:rFonts w:ascii="宋体" w:hAnsi="宋体"/>
          <w:sz w:val="24"/>
          <w:szCs w:val="24"/>
        </w:rPr>
        <w:t xml:space="preserve">     围栏布放时有些地方经常需在水中连接围油栏(比如为方便船只进入的开合处)，最好用定位连接浮筒或快装接头。连接时将需连接的两节围油栏拉在一起，接头处于自由状态再连接。快接头有插销式、对钩接头式和八字接头式。</w:t>
      </w:r>
    </w:p>
    <w:p>
      <w:pPr>
        <w:spacing w:line="400" w:lineRule="exact"/>
        <w:rPr>
          <w:rStyle w:val="23"/>
          <w:rFonts w:ascii="宋体" w:hAnsi="宋体"/>
          <w:sz w:val="24"/>
          <w:szCs w:val="24"/>
        </w:rPr>
      </w:pPr>
      <w:r>
        <w:rPr>
          <w:rStyle w:val="23"/>
          <w:rFonts w:ascii="宋体" w:hAnsi="宋体"/>
          <w:sz w:val="24"/>
          <w:szCs w:val="24"/>
        </w:rPr>
        <w:t xml:space="preserve">    对于固定布放围油栏与岸连接处应采用浮动隔离装置以保证水位变化时，围油不于岸磨擦并防止溢油泄漏。浮动隔离装置的轨道为垂直的，岸边为斜坡时应进行土壤处理。如为缓慢变化岸坡，围油栏应固定在离水边远一点高于最高工作水位以上的地方，再辅以吸油材料密封，但围油栏容易磨损，密封效果不好。</w:t>
      </w:r>
    </w:p>
    <w:p>
      <w:pPr>
        <w:spacing w:line="400" w:lineRule="exact"/>
        <w:rPr>
          <w:rStyle w:val="23"/>
          <w:rFonts w:ascii="宋体" w:hAnsi="宋体"/>
          <w:sz w:val="24"/>
          <w:szCs w:val="24"/>
        </w:rPr>
      </w:pPr>
      <w:r>
        <w:rPr>
          <w:rStyle w:val="23"/>
          <w:rFonts w:ascii="宋体" w:hAnsi="宋体"/>
          <w:sz w:val="24"/>
          <w:szCs w:val="24"/>
        </w:rPr>
        <w:t>(2) 围油栏的投放</w:t>
      </w:r>
    </w:p>
    <w:p>
      <w:pPr>
        <w:spacing w:line="400" w:lineRule="exact"/>
        <w:rPr>
          <w:rStyle w:val="23"/>
          <w:rFonts w:ascii="宋体" w:hAnsi="宋体"/>
          <w:sz w:val="24"/>
          <w:szCs w:val="24"/>
        </w:rPr>
      </w:pPr>
      <w:r>
        <w:rPr>
          <w:rStyle w:val="23"/>
          <w:rFonts w:ascii="宋体" w:hAnsi="宋体"/>
          <w:sz w:val="24"/>
          <w:szCs w:val="24"/>
        </w:rPr>
        <w:t xml:space="preserve">    围油栏由岸或船向水中投放时，应有拖船配合或投放船逆流行驰，应逐段向水中投放以免扰乱。围油栏投放前应整理好不扭绞，投入时注意方向，投下后不扭绞，否则在水中很难将其正过来。</w:t>
      </w:r>
    </w:p>
    <w:p>
      <w:pPr>
        <w:spacing w:line="400" w:lineRule="exact"/>
        <w:rPr>
          <w:rStyle w:val="23"/>
          <w:rFonts w:ascii="宋体" w:hAnsi="宋体"/>
          <w:sz w:val="24"/>
          <w:szCs w:val="24"/>
        </w:rPr>
      </w:pPr>
      <w:r>
        <w:rPr>
          <w:rStyle w:val="23"/>
          <w:rFonts w:ascii="宋体" w:hAnsi="宋体"/>
          <w:sz w:val="24"/>
          <w:szCs w:val="24"/>
        </w:rPr>
        <w:t xml:space="preserve">    向水中投放或回收围油栏时，围油栏易被岸和船挂伤，如用滚轮，溜槽等放在凸角处收放即安全又省力。</w:t>
      </w:r>
    </w:p>
    <w:p>
      <w:pPr>
        <w:spacing w:line="400" w:lineRule="exact"/>
        <w:rPr>
          <w:rStyle w:val="23"/>
          <w:rFonts w:ascii="宋体" w:hAnsi="宋体"/>
          <w:sz w:val="24"/>
          <w:szCs w:val="24"/>
        </w:rPr>
      </w:pPr>
      <w:r>
        <w:rPr>
          <w:rStyle w:val="23"/>
          <w:rFonts w:ascii="宋体" w:hAnsi="宋体"/>
          <w:sz w:val="24"/>
          <w:szCs w:val="24"/>
        </w:rPr>
        <w:t>(3) 围油栏的拖带</w:t>
      </w:r>
    </w:p>
    <w:p>
      <w:pPr>
        <w:spacing w:line="400" w:lineRule="exact"/>
        <w:rPr>
          <w:rStyle w:val="23"/>
          <w:rFonts w:ascii="宋体" w:hAnsi="宋体"/>
          <w:sz w:val="24"/>
          <w:szCs w:val="24"/>
        </w:rPr>
      </w:pPr>
      <w:r>
        <w:rPr>
          <w:rStyle w:val="23"/>
          <w:rFonts w:ascii="宋体" w:hAnsi="宋体"/>
          <w:sz w:val="24"/>
          <w:szCs w:val="24"/>
        </w:rPr>
        <w:t xml:space="preserve">    拖带时，注意拖绳长度。应使围油栏与船尾距离保持15米以上或5倍的甲板高度。拖带围油栏时最好用专用拖头，无拖头时可以将拖头绳直接系在围油栏的固锚座上，或拴在围油栏头部的两边的加强带上（注意是两边加强带系在一起），切不要用围油栏浮子在上边的用来提围油栏的把手拖带和固定围油栏。</w:t>
      </w:r>
    </w:p>
    <w:p>
      <w:pPr>
        <w:spacing w:line="400" w:lineRule="exact"/>
        <w:rPr>
          <w:rStyle w:val="23"/>
          <w:rFonts w:ascii="宋体" w:hAnsi="宋体"/>
          <w:sz w:val="24"/>
          <w:szCs w:val="24"/>
        </w:rPr>
      </w:pPr>
      <w:r>
        <w:rPr>
          <w:rStyle w:val="23"/>
          <w:rFonts w:ascii="宋体" w:hAnsi="宋体"/>
          <w:sz w:val="24"/>
          <w:szCs w:val="24"/>
        </w:rPr>
        <w:t xml:space="preserve">    直线拖带拖速应根据围油栏强度计算，所需船的功率也可算出</w:t>
      </w:r>
    </w:p>
    <w:p>
      <w:pPr>
        <w:spacing w:line="400" w:lineRule="exact"/>
        <w:rPr>
          <w:rStyle w:val="23"/>
          <w:rFonts w:ascii="宋体" w:hAnsi="宋体"/>
          <w:sz w:val="24"/>
          <w:szCs w:val="24"/>
        </w:rPr>
      </w:pPr>
      <w:r>
        <w:rPr>
          <w:rStyle w:val="23"/>
          <w:rFonts w:ascii="宋体" w:hAnsi="宋体"/>
          <w:sz w:val="24"/>
          <w:szCs w:val="24"/>
        </w:rPr>
        <w:t xml:space="preserve">       　T直＝7.5LV</w:t>
      </w:r>
      <w:r>
        <w:rPr>
          <w:rStyle w:val="23"/>
          <w:rFonts w:ascii="宋体" w:hAnsi="宋体"/>
          <w:sz w:val="24"/>
          <w:szCs w:val="24"/>
          <w:vertAlign w:val="superscript"/>
        </w:rPr>
        <w:t>2</w:t>
      </w:r>
      <w:r>
        <w:rPr>
          <w:rStyle w:val="23"/>
          <w:rFonts w:ascii="宋体" w:hAnsi="宋体"/>
          <w:sz w:val="24"/>
          <w:szCs w:val="24"/>
        </w:rPr>
        <w:t xml:space="preserve"> ...（5）  T直-直线拖带所需拖动力    　N</w:t>
      </w:r>
    </w:p>
    <w:p>
      <w:pPr>
        <w:spacing w:line="400" w:lineRule="exact"/>
        <w:rPr>
          <w:rStyle w:val="23"/>
          <w:rFonts w:ascii="宋体" w:hAnsi="宋体"/>
          <w:sz w:val="24"/>
          <w:szCs w:val="24"/>
        </w:rPr>
      </w:pPr>
      <w:r>
        <w:rPr>
          <w:rStyle w:val="23"/>
          <w:rFonts w:ascii="宋体" w:hAnsi="宋体"/>
          <w:sz w:val="24"/>
          <w:szCs w:val="24"/>
        </w:rPr>
        <w:t xml:space="preserve">                             L - 拖动的围油栏长度        m</w:t>
      </w:r>
    </w:p>
    <w:p>
      <w:pPr>
        <w:spacing w:line="400" w:lineRule="exact"/>
        <w:rPr>
          <w:rStyle w:val="23"/>
          <w:rFonts w:ascii="宋体" w:hAnsi="宋体"/>
          <w:sz w:val="24"/>
          <w:szCs w:val="24"/>
        </w:rPr>
      </w:pPr>
      <w:r>
        <w:rPr>
          <w:rStyle w:val="23"/>
          <w:rFonts w:ascii="宋体" w:hAnsi="宋体"/>
          <w:sz w:val="24"/>
          <w:szCs w:val="24"/>
        </w:rPr>
        <w:t xml:space="preserve">                             V - 水流于围油栏相对速度   m/s</w:t>
      </w:r>
    </w:p>
    <w:p>
      <w:pPr>
        <w:spacing w:line="400" w:lineRule="exact"/>
        <w:rPr>
          <w:rStyle w:val="23"/>
          <w:rFonts w:ascii="宋体" w:hAnsi="宋体"/>
          <w:sz w:val="24"/>
          <w:szCs w:val="24"/>
        </w:rPr>
      </w:pPr>
      <w:r>
        <w:rPr>
          <w:rStyle w:val="23"/>
          <w:rFonts w:ascii="宋体" w:hAnsi="宋体"/>
          <w:sz w:val="24"/>
          <w:szCs w:val="24"/>
        </w:rPr>
        <w:t xml:space="preserve">    拖带围油栏时应慢起动，慢加速，转弯时应减速，转弯后有十米以上拖直的围油栏才可加速。一般拖带围油栏长度不超过200米。最大直线拖拉速度≤10节，曲线拖拉速度≤4节 。</w:t>
      </w:r>
    </w:p>
    <w:p>
      <w:pPr>
        <w:spacing w:line="400" w:lineRule="exact"/>
        <w:rPr>
          <w:rStyle w:val="23"/>
          <w:rFonts w:ascii="宋体" w:hAnsi="宋体"/>
          <w:sz w:val="24"/>
          <w:szCs w:val="24"/>
        </w:rPr>
      </w:pPr>
      <w:r>
        <w:rPr>
          <w:rStyle w:val="23"/>
          <w:rFonts w:ascii="宋体" w:hAnsi="宋体"/>
          <w:sz w:val="24"/>
          <w:szCs w:val="24"/>
        </w:rPr>
        <w:t>(4) 围油栏展开</w:t>
      </w:r>
    </w:p>
    <w:p>
      <w:pPr>
        <w:spacing w:line="400" w:lineRule="exact"/>
        <w:rPr>
          <w:rStyle w:val="23"/>
          <w:rFonts w:ascii="宋体" w:hAnsi="宋体"/>
          <w:sz w:val="24"/>
          <w:szCs w:val="24"/>
        </w:rPr>
      </w:pPr>
      <w:r>
        <w:rPr>
          <w:rStyle w:val="23"/>
          <w:rFonts w:ascii="宋体" w:hAnsi="宋体"/>
          <w:sz w:val="24"/>
          <w:szCs w:val="24"/>
        </w:rPr>
        <w:t xml:space="preserve">    围油栏的布置和展开应事先有详细的方案。展开时应考虑潮流大小和方向。可将围油栏一端拖带到预定的点用锚固定，任其顺流漂流，然用船将下一个固锚点处的围油栏锚定在预定地点，依次重复逐段定位。在潮流小的情况下也可将主要点、转折点或连接点处的围油栏锚定，再将中间的锚连在围油栏上抛好。围油栏初步展开好后，可进一步调整锚的位置使围油栏布置有更正确的形状。船可用起锚绳将锚提起并拖带该锚(或随之拖动围油栏)移动。</w:t>
      </w:r>
    </w:p>
    <w:p>
      <w:pPr>
        <w:spacing w:line="400" w:lineRule="exact"/>
        <w:rPr>
          <w:rStyle w:val="23"/>
          <w:rFonts w:ascii="宋体" w:hAnsi="宋体"/>
          <w:sz w:val="24"/>
          <w:szCs w:val="24"/>
        </w:rPr>
      </w:pPr>
      <w:r>
        <w:rPr>
          <w:rStyle w:val="23"/>
          <w:rFonts w:ascii="宋体" w:hAnsi="宋体"/>
          <w:sz w:val="24"/>
          <w:szCs w:val="24"/>
        </w:rPr>
        <w:t xml:space="preserve">    围油栏展开好后应有专人监视，防止因水文气象的变化和锚的滑移，使围油栏布放失效，甚至损失围油栏。</w:t>
      </w:r>
    </w:p>
    <w:p>
      <w:pPr>
        <w:pStyle w:val="26"/>
        <w:rPr>
          <w:rStyle w:val="23"/>
        </w:rPr>
      </w:pPr>
      <w:r>
        <w:rPr>
          <w:rStyle w:val="23"/>
        </w:rPr>
        <w:t>4.3.4 围油栏回收和储存</w:t>
      </w:r>
    </w:p>
    <w:p>
      <w:pPr>
        <w:spacing w:line="400" w:lineRule="exact"/>
        <w:rPr>
          <w:rStyle w:val="23"/>
          <w:rFonts w:ascii="宋体" w:hAnsi="宋体"/>
          <w:sz w:val="24"/>
          <w:szCs w:val="24"/>
        </w:rPr>
      </w:pPr>
      <w:r>
        <w:rPr>
          <w:rStyle w:val="23"/>
          <w:rFonts w:ascii="宋体" w:hAnsi="宋体"/>
          <w:sz w:val="24"/>
          <w:szCs w:val="24"/>
        </w:rPr>
        <w:t xml:space="preserve">    围油栏回收过程与展开相反，但要结合存储方式进行。</w:t>
      </w:r>
    </w:p>
    <w:p>
      <w:pPr>
        <w:spacing w:line="400" w:lineRule="exact"/>
        <w:ind w:firstLine="420"/>
        <w:rPr>
          <w:rStyle w:val="23"/>
          <w:rFonts w:ascii="宋体" w:hAnsi="宋体"/>
          <w:sz w:val="24"/>
          <w:szCs w:val="24"/>
        </w:rPr>
      </w:pPr>
      <w:r>
        <w:rPr>
          <w:rStyle w:val="23"/>
          <w:rFonts w:ascii="宋体" w:hAnsi="宋体"/>
          <w:sz w:val="24"/>
          <w:szCs w:val="24"/>
        </w:rPr>
        <w:t>围油栏存储可放在岸上船上。但下水再回收上来易损伤围油栏，所以岸边船边最好有滚轮、滑道。围油栏在岸上可排放、堆放(注意不要扰乱),也可用绞盘卷绕。固体浮子围油栏用绞盘存储时，体积比较庞大，但可机械收放比较方便。可以用吊车等装置将围油栏逐段吊到岸上船上，但应注意不能吊挂在围油栏提把上，要挂在固锚座上提起围油栏。在回收到岸船上之前应先将所有锚绳与围油栏脱开。存放处应通风，避免太阳直射。</w:t>
      </w:r>
    </w:p>
    <w:p>
      <w:pPr>
        <w:spacing w:line="400" w:lineRule="exact"/>
        <w:rPr>
          <w:rStyle w:val="23"/>
          <w:rFonts w:ascii="宋体" w:hAnsi="宋体"/>
          <w:sz w:val="24"/>
          <w:szCs w:val="24"/>
        </w:rPr>
      </w:pPr>
      <w:r>
        <w:rPr>
          <w:rStyle w:val="23"/>
          <w:rFonts w:ascii="宋体" w:hAnsi="宋体"/>
          <w:sz w:val="24"/>
          <w:szCs w:val="24"/>
        </w:rPr>
        <w:t xml:space="preserve">    围油栏存储在水中适用频繁间歇性作业。单端锚泊，围油栏自由随水流、风向漂泊，围油栏受力好不易损坏。在水域不宽阔时，可以折成之字形浮在水面上(见右图)。直段顺水、顺流为好，也可用构物代替锚固定围油栏。围油栏之间，围油栏于构物之间不得接触，以免磨坏。</w:t>
      </w:r>
    </w:p>
    <w:p>
      <w:pPr>
        <w:spacing w:line="400" w:lineRule="exact"/>
        <w:rPr>
          <w:rStyle w:val="23"/>
          <w:rFonts w:ascii="宋体" w:hAnsi="宋体"/>
          <w:sz w:val="24"/>
          <w:szCs w:val="24"/>
        </w:rPr>
      </w:pPr>
      <w:r>
        <w:drawing>
          <wp:anchor distT="0" distB="0" distL="114300" distR="114300" simplePos="0" relativeHeight="251666432" behindDoc="0" locked="0" layoutInCell="1" allowOverlap="1">
            <wp:simplePos x="0" y="0"/>
            <wp:positionH relativeFrom="page">
              <wp:posOffset>3884295</wp:posOffset>
            </wp:positionH>
            <wp:positionV relativeFrom="paragraph">
              <wp:posOffset>340360</wp:posOffset>
            </wp:positionV>
            <wp:extent cx="2924175" cy="1914525"/>
            <wp:effectExtent l="0" t="0" r="9525" b="9525"/>
            <wp:wrapSquare wrapText="bothSides"/>
            <wp:docPr id="9" name="图片 9" descr="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age11"/>
                    <pic:cNvPicPr preferRelativeResize="0">
                      <a:picLocks noChangeAspect="1" noChangeArrowheads="1"/>
                    </pic:cNvPicPr>
                  </pic:nvPicPr>
                  <pic:blipFill>
                    <a:blip r:embed="rId14" cstate="print"/>
                    <a:srcRect/>
                    <a:stretch>
                      <a:fillRect/>
                    </a:stretch>
                  </pic:blipFill>
                  <pic:spPr>
                    <a:xfrm>
                      <a:off x="0" y="0"/>
                      <a:ext cx="2924175" cy="1914525"/>
                    </a:xfrm>
                    <a:prstGeom prst="rect">
                      <a:avLst/>
                    </a:prstGeom>
                    <a:noFill/>
                    <a:ln>
                      <a:noFill/>
                    </a:ln>
                  </pic:spPr>
                </pic:pic>
              </a:graphicData>
            </a:graphic>
          </wp:anchor>
        </w:drawing>
      </w:r>
      <w:r>
        <w:rPr>
          <w:rStyle w:val="23"/>
          <w:rFonts w:ascii="宋体" w:hAnsi="宋体"/>
          <w:sz w:val="24"/>
          <w:szCs w:val="24"/>
        </w:rPr>
        <w:t xml:space="preserve">    围油栏在水中存储时，回收存放时不一定将所有锚与围油栏脱离，用一个船带系锚绳再随带将该锚和围油栏拖到存储地，还可另用一个小船提起后面的锚跟在围油栏后面，用这样的方法可以很方便的将一条围油栏在布放地和存放地之间运送。单个锚移动也不必将锚提到船上，只需拖带系锚绳即可。</w:t>
      </w:r>
    </w:p>
    <w:p>
      <w:pPr>
        <w:spacing w:line="400" w:lineRule="exact"/>
        <w:rPr>
          <w:rStyle w:val="23"/>
          <w:rFonts w:ascii="宋体" w:hAnsi="宋体"/>
          <w:sz w:val="24"/>
          <w:szCs w:val="24"/>
        </w:rPr>
      </w:pPr>
      <w:r>
        <w:rPr>
          <w:rStyle w:val="23"/>
          <w:rFonts w:ascii="宋体" w:hAnsi="宋体"/>
          <w:sz w:val="24"/>
          <w:szCs w:val="24"/>
        </w:rPr>
        <w:t xml:space="preserve">    在台风和强风到来之前一定将在水中围油栏转移岸上。 </w:t>
      </w:r>
    </w:p>
    <w:p>
      <w:pPr>
        <w:pStyle w:val="26"/>
        <w:rPr>
          <w:rStyle w:val="23"/>
        </w:rPr>
      </w:pPr>
      <w:r>
        <w:rPr>
          <w:rStyle w:val="23"/>
        </w:rPr>
        <w:t>4.3.5 围油栏的清洗和维护</w:t>
      </w:r>
    </w:p>
    <w:p>
      <w:pPr>
        <w:spacing w:line="400" w:lineRule="exact"/>
        <w:rPr>
          <w:rStyle w:val="23"/>
          <w:rFonts w:ascii="宋体" w:hAnsi="宋体"/>
          <w:sz w:val="24"/>
          <w:szCs w:val="24"/>
        </w:rPr>
      </w:pPr>
      <w:r>
        <w:rPr>
          <w:rStyle w:val="23"/>
          <w:rFonts w:ascii="宋体" w:hAnsi="宋体"/>
          <w:sz w:val="24"/>
          <w:szCs w:val="24"/>
        </w:rPr>
        <w:t xml:space="preserve">    围油栏沾有油时必须及时去处。最好用专用清洗机，也可用棉纱，去油剂，毛刷等清洗。在水中长期存放的围油栏应定期清理围油栏上的附着物并定期收到岸上检查。</w:t>
      </w:r>
    </w:p>
    <w:p>
      <w:pPr>
        <w:spacing w:line="400" w:lineRule="exact"/>
        <w:ind w:firstLine="525"/>
        <w:rPr>
          <w:rStyle w:val="23"/>
          <w:rFonts w:ascii="宋体" w:hAnsi="宋体"/>
          <w:sz w:val="24"/>
          <w:szCs w:val="24"/>
        </w:rPr>
      </w:pPr>
      <w:r>
        <w:rPr>
          <w:rStyle w:val="23"/>
          <w:rFonts w:ascii="宋体" w:hAnsi="宋体"/>
          <w:sz w:val="24"/>
          <w:szCs w:val="24"/>
        </w:rPr>
        <w:t>经常检查围油栏，补上丢失零件，不能修复的围油栏段要去除，按制造厂建议的方法拼接。围油栏局部磨坏，刮坏之处可用围油栏布和粘接剂修补。</w:t>
      </w:r>
    </w:p>
    <w:p>
      <w:pPr>
        <w:pStyle w:val="24"/>
        <w:rPr>
          <w:rStyle w:val="23"/>
        </w:rPr>
      </w:pPr>
      <w:r>
        <w:rPr>
          <w:rStyle w:val="23"/>
        </w:rPr>
        <w:t>五、WGJ1000固体浮子式橡胶围油栏试验大纲</w:t>
      </w:r>
    </w:p>
    <w:p>
      <w:pPr>
        <w:pStyle w:val="25"/>
        <w:spacing w:before="0"/>
        <w:rPr>
          <w:rStyle w:val="23"/>
        </w:rPr>
      </w:pPr>
      <w:r>
        <w:rPr>
          <w:rStyle w:val="23"/>
        </w:rPr>
        <w:t>5.1 试验大纲编制依据</w:t>
      </w:r>
    </w:p>
    <w:p>
      <w:pPr>
        <w:spacing w:line="400" w:lineRule="exact"/>
        <w:rPr>
          <w:rStyle w:val="23"/>
          <w:rFonts w:ascii="宋体" w:hAnsi="宋体"/>
          <w:sz w:val="24"/>
          <w:szCs w:val="24"/>
        </w:rPr>
      </w:pPr>
      <w:r>
        <w:rPr>
          <w:rStyle w:val="23"/>
          <w:rFonts w:ascii="宋体" w:hAnsi="宋体"/>
          <w:sz w:val="24"/>
          <w:szCs w:val="24"/>
        </w:rPr>
        <w:t>JT/T465-2001《围油栏》交通部标准；</w:t>
      </w:r>
    </w:p>
    <w:p>
      <w:pPr>
        <w:pStyle w:val="25"/>
        <w:spacing w:before="0"/>
        <w:rPr>
          <w:rStyle w:val="23"/>
        </w:rPr>
      </w:pPr>
      <w:r>
        <w:rPr>
          <w:rStyle w:val="23"/>
        </w:rPr>
        <w:t>5.2 工厂测试内容</w:t>
      </w:r>
    </w:p>
    <w:p>
      <w:pPr>
        <w:numPr>
          <w:ilvl w:val="1"/>
          <w:numId w:val="4"/>
        </w:numPr>
        <w:spacing w:line="400" w:lineRule="exact"/>
        <w:ind w:left="601"/>
        <w:rPr>
          <w:rStyle w:val="23"/>
          <w:rFonts w:ascii="宋体" w:hAnsi="宋体"/>
          <w:bCs/>
          <w:sz w:val="24"/>
          <w:szCs w:val="24"/>
        </w:rPr>
      </w:pPr>
      <w:r>
        <w:rPr>
          <w:rStyle w:val="23"/>
          <w:rFonts w:ascii="宋体" w:hAnsi="宋体"/>
          <w:sz w:val="24"/>
          <w:szCs w:val="24"/>
        </w:rPr>
        <w:t>橡胶布外观质量满足</w:t>
      </w:r>
      <w:r>
        <w:rPr>
          <w:rStyle w:val="23"/>
          <w:rFonts w:ascii="宋体" w:hAnsi="宋体"/>
          <w:color w:val="000000"/>
          <w:sz w:val="24"/>
          <w:szCs w:val="24"/>
        </w:rPr>
        <w:t>HG/T3046-1999的</w:t>
      </w:r>
      <w:r>
        <w:rPr>
          <w:rStyle w:val="23"/>
          <w:rFonts w:ascii="宋体" w:hAnsi="宋体"/>
          <w:sz w:val="24"/>
          <w:szCs w:val="24"/>
        </w:rPr>
        <w:t>要求；围油栏各金属件结合牢固、清洁、无毛刺；</w:t>
      </w:r>
    </w:p>
    <w:p>
      <w:pPr>
        <w:numPr>
          <w:ilvl w:val="1"/>
          <w:numId w:val="4"/>
        </w:numPr>
        <w:snapToGrid w:val="0"/>
        <w:spacing w:line="400" w:lineRule="exact"/>
        <w:rPr>
          <w:rStyle w:val="23"/>
          <w:rFonts w:ascii="宋体" w:hAnsi="宋体"/>
          <w:bCs/>
          <w:sz w:val="24"/>
          <w:szCs w:val="24"/>
        </w:rPr>
      </w:pPr>
      <w:r>
        <w:rPr>
          <w:rStyle w:val="23"/>
          <w:rFonts w:ascii="宋体" w:hAnsi="宋体"/>
          <w:bCs/>
          <w:sz w:val="24"/>
          <w:szCs w:val="24"/>
        </w:rPr>
        <w:t>核对围油栏包布基础测试数据满足标准要求，抗拉强度：&gt;10000N/50mm；最小撕裂强度：&gt;850N；</w:t>
      </w:r>
      <w:r>
        <w:rPr>
          <w:rStyle w:val="23"/>
          <w:rFonts w:ascii="宋体" w:hAnsi="宋体"/>
          <w:sz w:val="24"/>
          <w:szCs w:val="24"/>
        </w:rPr>
        <w:t>每节围油栏的包布在长度方向上不得有接头或缝隙，无气泡、褶皱和开裂现象，外层必须具有</w:t>
      </w:r>
      <w:r>
        <w:rPr>
          <w:rStyle w:val="23"/>
          <w:rFonts w:ascii="宋体" w:hAnsi="MS Sans Serif"/>
          <w:sz w:val="24"/>
          <w:szCs w:val="24"/>
        </w:rPr>
        <w:t>耐油、耐候、耐磨、耐盐、耐海水腐蚀橡胶布硫化加工制成。能抵抗常用化学品腐蚀</w:t>
      </w:r>
      <w:r>
        <w:rPr>
          <w:rStyle w:val="23"/>
          <w:rFonts w:ascii="宋体" w:hAnsi="宋体"/>
          <w:sz w:val="24"/>
          <w:szCs w:val="24"/>
        </w:rPr>
        <w:t>，并能适应-20°C ～ +40°C的环境温度剧烈变化。橡胶布层间粘合强度不小于4.5N/mm，外贴胶的粘合强度不小于5N/mm；</w:t>
      </w:r>
    </w:p>
    <w:p>
      <w:pPr>
        <w:numPr>
          <w:ilvl w:val="1"/>
          <w:numId w:val="4"/>
        </w:numPr>
        <w:snapToGrid w:val="0"/>
        <w:spacing w:line="400" w:lineRule="exact"/>
        <w:rPr>
          <w:rStyle w:val="23"/>
          <w:rFonts w:ascii="宋体" w:hAnsi="宋体"/>
          <w:bCs/>
          <w:sz w:val="24"/>
          <w:szCs w:val="24"/>
        </w:rPr>
      </w:pPr>
      <w:r>
        <w:rPr>
          <w:rStyle w:val="23"/>
          <w:rFonts w:ascii="宋体" w:hAnsi="宋体"/>
          <w:sz w:val="24"/>
          <w:szCs w:val="24"/>
        </w:rPr>
        <w:t>围油栏浮子室上部开口装入浮子后粘连封闭，目测无缝隙；浮室封口处硫化宽度不少于50mm并达到布层间的硫化粘合强度；</w:t>
      </w:r>
    </w:p>
    <w:p>
      <w:pPr>
        <w:numPr>
          <w:ilvl w:val="1"/>
          <w:numId w:val="4"/>
        </w:numPr>
        <w:snapToGrid w:val="0"/>
        <w:spacing w:line="400" w:lineRule="exact"/>
        <w:rPr>
          <w:rStyle w:val="23"/>
          <w:rFonts w:ascii="宋体" w:hAnsi="宋体"/>
          <w:bCs/>
          <w:sz w:val="24"/>
          <w:szCs w:val="24"/>
        </w:rPr>
      </w:pPr>
      <w:r>
        <w:rPr>
          <w:rStyle w:val="23"/>
          <w:rFonts w:ascii="宋体" w:hAnsi="宋体"/>
          <w:sz w:val="24"/>
          <w:szCs w:val="24"/>
        </w:rPr>
        <w:t>浮体形状完整，有防止浮体丢失或被溢油腐蚀的措施；</w:t>
      </w:r>
    </w:p>
    <w:p>
      <w:pPr>
        <w:numPr>
          <w:ilvl w:val="1"/>
          <w:numId w:val="4"/>
        </w:numPr>
        <w:snapToGrid w:val="0"/>
        <w:spacing w:line="400" w:lineRule="exact"/>
        <w:rPr>
          <w:rStyle w:val="23"/>
          <w:rFonts w:ascii="宋体" w:hAnsi="宋体"/>
          <w:bCs/>
          <w:sz w:val="24"/>
          <w:szCs w:val="24"/>
        </w:rPr>
      </w:pPr>
      <w:r>
        <w:rPr>
          <w:rStyle w:val="23"/>
          <w:rFonts w:ascii="宋体" w:hAnsi="宋体"/>
          <w:sz w:val="24"/>
          <w:szCs w:val="24"/>
        </w:rPr>
        <w:t>接头应与本体粘接牢固，螺栓紧固无松动；同型号围油栏接头互换性良好；</w:t>
      </w:r>
    </w:p>
    <w:p>
      <w:pPr>
        <w:numPr>
          <w:ilvl w:val="1"/>
          <w:numId w:val="4"/>
        </w:numPr>
        <w:snapToGrid w:val="0"/>
        <w:spacing w:line="400" w:lineRule="exact"/>
        <w:rPr>
          <w:rStyle w:val="23"/>
          <w:rFonts w:ascii="宋体" w:hAnsi="宋体"/>
          <w:bCs/>
          <w:sz w:val="24"/>
          <w:szCs w:val="24"/>
        </w:rPr>
      </w:pPr>
      <w:r>
        <w:rPr>
          <w:rStyle w:val="23"/>
          <w:rFonts w:ascii="宋体" w:hAnsi="宋体"/>
          <w:sz w:val="24"/>
          <w:szCs w:val="24"/>
        </w:rPr>
        <w:t>配重表面涂漆并牢固的固定在裙体底部；</w:t>
      </w:r>
    </w:p>
    <w:p>
      <w:pPr>
        <w:numPr>
          <w:ilvl w:val="1"/>
          <w:numId w:val="4"/>
        </w:numPr>
        <w:spacing w:line="400" w:lineRule="exact"/>
        <w:ind w:left="601"/>
        <w:rPr>
          <w:rStyle w:val="23"/>
          <w:rFonts w:ascii="宋体" w:hAnsi="宋体"/>
          <w:bCs/>
          <w:sz w:val="24"/>
          <w:szCs w:val="24"/>
        </w:rPr>
      </w:pPr>
      <w:r>
        <w:rPr>
          <w:rStyle w:val="23"/>
          <w:rFonts w:ascii="宋体" w:hAnsi="宋体"/>
          <w:sz w:val="24"/>
          <w:szCs w:val="24"/>
        </w:rPr>
        <w:t>静态布放能维持稳定的干舷和吃水；</w:t>
      </w:r>
    </w:p>
    <w:p>
      <w:pPr>
        <w:numPr>
          <w:ilvl w:val="1"/>
          <w:numId w:val="4"/>
        </w:numPr>
        <w:spacing w:line="400" w:lineRule="exact"/>
        <w:rPr>
          <w:rStyle w:val="23"/>
          <w:rFonts w:ascii="宋体" w:hAnsi="宋体"/>
          <w:bCs/>
          <w:sz w:val="24"/>
          <w:szCs w:val="24"/>
        </w:rPr>
      </w:pPr>
      <w:r>
        <w:rPr>
          <w:rStyle w:val="23"/>
          <w:rFonts w:ascii="宋体" w:hAnsi="宋体"/>
          <w:sz w:val="24"/>
          <w:szCs w:val="24"/>
        </w:rPr>
        <w:t>检查围油栏总高度、总长度；</w:t>
      </w:r>
    </w:p>
    <w:p>
      <w:pPr>
        <w:numPr>
          <w:ilvl w:val="1"/>
          <w:numId w:val="4"/>
        </w:numPr>
        <w:spacing w:line="400" w:lineRule="exact"/>
        <w:rPr>
          <w:rStyle w:val="23"/>
          <w:rFonts w:ascii="宋体" w:hAnsi="宋体"/>
          <w:bCs/>
          <w:sz w:val="24"/>
          <w:szCs w:val="24"/>
        </w:rPr>
      </w:pPr>
      <w:r>
        <w:rPr>
          <w:rStyle w:val="23"/>
          <w:rFonts w:ascii="宋体" w:hAnsi="宋体"/>
          <w:sz w:val="24"/>
          <w:szCs w:val="24"/>
        </w:rPr>
        <w:t>按标准附录A测试总抗拉强度大于80KN；</w:t>
      </w:r>
    </w:p>
    <w:p>
      <w:pPr>
        <w:numPr>
          <w:ilvl w:val="1"/>
          <w:numId w:val="4"/>
        </w:numPr>
        <w:spacing w:line="400" w:lineRule="exact"/>
        <w:rPr>
          <w:rStyle w:val="23"/>
          <w:rFonts w:ascii="宋体" w:hAnsi="宋体"/>
          <w:bCs/>
          <w:sz w:val="24"/>
          <w:szCs w:val="24"/>
        </w:rPr>
      </w:pPr>
      <w:r>
        <w:rPr>
          <w:rStyle w:val="23"/>
          <w:rFonts w:ascii="宋体" w:hAnsi="宋体"/>
          <w:bCs/>
          <w:sz w:val="24"/>
          <w:szCs w:val="24"/>
        </w:rPr>
        <w:t>试验完毕或试验过程中填写：“</w:t>
      </w:r>
      <w:r>
        <w:rPr>
          <w:rStyle w:val="23"/>
          <w:rFonts w:ascii="宋体" w:hAnsi="宋体"/>
          <w:sz w:val="24"/>
          <w:szCs w:val="24"/>
        </w:rPr>
        <w:t>WGJ1000Z固体浮子式橡胶围油栏</w:t>
      </w:r>
      <w:r>
        <w:rPr>
          <w:rStyle w:val="23"/>
          <w:rFonts w:ascii="宋体" w:hAnsi="宋体"/>
          <w:bCs/>
          <w:sz w:val="24"/>
          <w:szCs w:val="24"/>
        </w:rPr>
        <w:t>试验记录表 ”。</w:t>
      </w:r>
    </w:p>
    <w:p>
      <w:pPr>
        <w:pStyle w:val="25"/>
        <w:spacing w:before="0"/>
        <w:rPr>
          <w:rStyle w:val="23"/>
        </w:rPr>
      </w:pPr>
      <w:r>
        <w:rPr>
          <w:rStyle w:val="23"/>
        </w:rPr>
        <w:t>5.3 WGJ1000固体浮子式橡胶围油栏现场评估试验</w:t>
      </w:r>
    </w:p>
    <w:p>
      <w:pPr>
        <w:numPr>
          <w:ilvl w:val="0"/>
          <w:numId w:val="5"/>
        </w:numPr>
        <w:spacing w:line="400" w:lineRule="exact"/>
        <w:rPr>
          <w:rStyle w:val="23"/>
          <w:rFonts w:ascii="宋体" w:hAnsi="宋体"/>
          <w:bCs/>
          <w:sz w:val="24"/>
          <w:szCs w:val="24"/>
        </w:rPr>
      </w:pPr>
      <w:r>
        <w:rPr>
          <w:rStyle w:val="23"/>
          <w:rFonts w:ascii="宋体" w:hAnsi="宋体"/>
          <w:sz w:val="24"/>
          <w:szCs w:val="24"/>
        </w:rPr>
        <w:t>围油栏的下水与布放</w:t>
      </w:r>
    </w:p>
    <w:p>
      <w:pPr>
        <w:spacing w:line="400" w:lineRule="exact"/>
        <w:ind w:left="181" w:leftChars="86" w:firstLine="480" w:firstLineChars="200"/>
        <w:rPr>
          <w:rStyle w:val="23"/>
          <w:rFonts w:ascii="宋体" w:hAnsi="宋体"/>
          <w:bCs/>
          <w:sz w:val="24"/>
          <w:szCs w:val="24"/>
        </w:rPr>
      </w:pPr>
      <w:r>
        <w:rPr>
          <w:rStyle w:val="23"/>
          <w:rFonts w:ascii="宋体" w:hAnsi="宋体"/>
          <w:sz w:val="24"/>
          <w:szCs w:val="24"/>
        </w:rPr>
        <w:t>首先将两端带有接头、长度约为200m的围油栏从船上布设到水中，入海的一端用另一工作船缓慢直线拖带，直到围油栏全部成自然漂浮状态后停止拖带。观察并记录围油栏连接操作过程、围油栏下水过程、围油栏运动状态、自然漂浮状态、围油栏附近波浪行为。</w:t>
      </w:r>
    </w:p>
    <w:p>
      <w:pPr>
        <w:numPr>
          <w:ilvl w:val="0"/>
          <w:numId w:val="5"/>
        </w:numPr>
        <w:spacing w:line="400" w:lineRule="exact"/>
        <w:rPr>
          <w:rStyle w:val="23"/>
          <w:rFonts w:ascii="宋体" w:hAnsi="宋体"/>
          <w:bCs/>
          <w:sz w:val="24"/>
          <w:szCs w:val="24"/>
        </w:rPr>
      </w:pPr>
      <w:r>
        <w:rPr>
          <w:rStyle w:val="23"/>
          <w:rFonts w:ascii="宋体" w:hAnsi="宋体"/>
          <w:sz w:val="24"/>
          <w:szCs w:val="24"/>
        </w:rPr>
        <w:t>围油栏的拖带</w:t>
      </w:r>
    </w:p>
    <w:p>
      <w:pPr>
        <w:spacing w:line="400" w:lineRule="exact"/>
        <w:ind w:left="181" w:leftChars="86" w:firstLine="480" w:firstLineChars="200"/>
        <w:rPr>
          <w:rStyle w:val="23"/>
          <w:rFonts w:ascii="宋体" w:hAnsi="宋体"/>
          <w:bCs/>
          <w:sz w:val="24"/>
          <w:szCs w:val="24"/>
        </w:rPr>
      </w:pPr>
      <w:r>
        <w:rPr>
          <w:rStyle w:val="23"/>
          <w:rFonts w:ascii="宋体" w:hAnsi="宋体"/>
          <w:sz w:val="24"/>
          <w:szCs w:val="24"/>
        </w:rPr>
        <w:t>当围油栏展开之后，工作船采用链状拖带方式并以不断增加的拖带速度从围油栏的两端进行拖带。在围油栏的开口处系有绳子以保持围油栏的拖带形状。风速较小时应顶风拖带而风速较高时则顺风拖带，理想的拖带速度增量为0.1kn，直到围油栏发生平倒或沉没失效为止，记录发生失败时的拖带速度。</w:t>
      </w:r>
    </w:p>
    <w:p>
      <w:pPr>
        <w:numPr>
          <w:ilvl w:val="0"/>
          <w:numId w:val="5"/>
        </w:numPr>
        <w:spacing w:line="400" w:lineRule="exact"/>
        <w:rPr>
          <w:rStyle w:val="23"/>
          <w:rFonts w:ascii="宋体" w:hAnsi="宋体"/>
          <w:bCs/>
          <w:sz w:val="24"/>
          <w:szCs w:val="24"/>
        </w:rPr>
      </w:pPr>
      <w:r>
        <w:rPr>
          <w:rStyle w:val="23"/>
          <w:rFonts w:ascii="宋体" w:hAnsi="宋体"/>
          <w:sz w:val="24"/>
          <w:szCs w:val="24"/>
        </w:rPr>
        <w:t>围油栏抗拉强度</w:t>
      </w:r>
    </w:p>
    <w:p>
      <w:pPr>
        <w:spacing w:line="400" w:lineRule="exact"/>
        <w:ind w:left="181" w:leftChars="86" w:firstLine="480" w:firstLineChars="200"/>
        <w:rPr>
          <w:rStyle w:val="23"/>
          <w:rFonts w:ascii="宋体" w:hAnsi="宋体"/>
          <w:bCs/>
          <w:sz w:val="24"/>
          <w:szCs w:val="24"/>
        </w:rPr>
      </w:pPr>
      <w:r>
        <w:rPr>
          <w:rStyle w:val="23"/>
          <w:rFonts w:ascii="宋体" w:hAnsi="宋体"/>
          <w:sz w:val="24"/>
          <w:szCs w:val="24"/>
        </w:rPr>
        <w:t>采用拉力计进行监测，在不超过围油栏额定抗拉强度指标情况下将围油栏分别以低速和高速进行直线拖带，分别观测围油栏受力所发生的变化以及围油栏姿态特征。采用链状方式以1kn的速度拖带围油栏，观察围油栏抗拉强度是否满足拖带速度和海况方面的工作条件要求。注意波浪和不正常的拖带速度产生的峰荷拖力将导致围油栏的失败。</w:t>
      </w:r>
    </w:p>
    <w:p>
      <w:pPr>
        <w:numPr>
          <w:ilvl w:val="0"/>
          <w:numId w:val="5"/>
        </w:numPr>
        <w:spacing w:line="400" w:lineRule="exact"/>
        <w:rPr>
          <w:rStyle w:val="23"/>
          <w:rFonts w:ascii="宋体" w:hAnsi="宋体"/>
          <w:bCs/>
          <w:sz w:val="24"/>
          <w:szCs w:val="24"/>
        </w:rPr>
      </w:pPr>
      <w:r>
        <w:rPr>
          <w:rStyle w:val="23"/>
          <w:rFonts w:ascii="宋体" w:hAnsi="宋体"/>
          <w:sz w:val="24"/>
          <w:szCs w:val="24"/>
        </w:rPr>
        <w:t>围油栏机械性能</w:t>
      </w:r>
    </w:p>
    <w:p>
      <w:pPr>
        <w:spacing w:line="400" w:lineRule="exact"/>
        <w:ind w:firstLine="480" w:firstLineChars="200"/>
        <w:rPr>
          <w:rStyle w:val="23"/>
          <w:rFonts w:ascii="宋体" w:hAnsi="宋体"/>
          <w:bCs/>
          <w:sz w:val="24"/>
          <w:szCs w:val="24"/>
        </w:rPr>
      </w:pPr>
      <w:r>
        <w:rPr>
          <w:rStyle w:val="23"/>
          <w:rFonts w:ascii="宋体" w:hAnsi="宋体"/>
          <w:sz w:val="24"/>
          <w:szCs w:val="24"/>
        </w:rPr>
        <w:t>观察围油栏是否发生结构损坏或出现机械方面的问题，例如：围油栏是否出现断裂、接头脱开现象，围油栏包布的接合面、包布与各金属件间的连接是否出现撕裂或脱开现象。充气式围油栏是否出现大量漏气出现。包布是否由于配重材料或系缆设备等的摩擦出现损坏。拖缆或其他系具等围油栏构件是否轮换受力或出现异常。浮力组件是否被杂物穿刺而导致围油栏结构损坏。</w:t>
      </w:r>
    </w:p>
    <w:p>
      <w:pPr>
        <w:numPr>
          <w:ilvl w:val="0"/>
          <w:numId w:val="5"/>
        </w:numPr>
        <w:spacing w:line="400" w:lineRule="exact"/>
        <w:rPr>
          <w:rStyle w:val="23"/>
          <w:rFonts w:ascii="宋体" w:hAnsi="宋体"/>
          <w:bCs/>
          <w:sz w:val="24"/>
          <w:szCs w:val="24"/>
        </w:rPr>
      </w:pPr>
      <w:r>
        <w:rPr>
          <w:rStyle w:val="23"/>
          <w:rFonts w:ascii="宋体" w:hAnsi="宋体"/>
          <w:sz w:val="24"/>
          <w:szCs w:val="24"/>
        </w:rPr>
        <w:t>围油栏在水中的保留姿态</w:t>
      </w:r>
    </w:p>
    <w:p>
      <w:pPr>
        <w:spacing w:line="400" w:lineRule="exact"/>
        <w:ind w:firstLine="480" w:firstLineChars="200"/>
        <w:rPr>
          <w:rStyle w:val="23"/>
          <w:rFonts w:ascii="宋体" w:hAnsi="宋体"/>
          <w:bCs/>
          <w:sz w:val="24"/>
          <w:szCs w:val="24"/>
        </w:rPr>
      </w:pPr>
      <w:r>
        <w:rPr>
          <w:rStyle w:val="23"/>
          <w:rFonts w:ascii="宋体" w:hAnsi="宋体"/>
          <w:sz w:val="24"/>
          <w:szCs w:val="24"/>
        </w:rPr>
        <w:t>首先在围油栏自然漂浮状态（静止状态）下观察围油栏的稳定性，围油栏在试验气象条件下是否是经得起风浪。包括围油栏的抗翻滚性、乘波性或围油栏是否出现平倒、浸没、拱起或越过流失。以不同速度拖带围油栏（运动状态）观察围油栏不稳定时的状态。观察围油栏发生失败时相对水流的速度范围。海况较差时观察围油栏仍然能够存活时的波浪高度。观察围油栏对无论是与围油栏浮室中心轴线平行还是垂直的波浪，是否都能够很好地适应波浪变化。同时观察围油栏的配重是否适当、浮力重量比是否能够在大部分测试过程中维持其干舷和吃水，是否能够应付高的拖带速度并且在波浪较高的情况下表现出好的乘波性。或由于浮力重量比较小，当以高速拖带时围油栏出现“下坐”，从而增加了围油栏的拉力。</w:t>
      </w:r>
    </w:p>
    <w:p>
      <w:pPr>
        <w:numPr>
          <w:ilvl w:val="0"/>
          <w:numId w:val="5"/>
        </w:numPr>
        <w:spacing w:line="400" w:lineRule="exact"/>
        <w:rPr>
          <w:rStyle w:val="23"/>
          <w:rFonts w:ascii="宋体" w:hAnsi="宋体"/>
          <w:bCs/>
          <w:sz w:val="24"/>
          <w:szCs w:val="24"/>
        </w:rPr>
      </w:pPr>
      <w:r>
        <w:rPr>
          <w:rStyle w:val="23"/>
          <w:rFonts w:ascii="宋体" w:hAnsi="宋体"/>
          <w:sz w:val="24"/>
          <w:szCs w:val="24"/>
        </w:rPr>
        <w:t>围油栏对溢油的控制能力</w:t>
      </w:r>
    </w:p>
    <w:p>
      <w:pPr>
        <w:spacing w:line="400" w:lineRule="exact"/>
        <w:ind w:firstLine="480" w:firstLineChars="200"/>
        <w:rPr>
          <w:rStyle w:val="23"/>
          <w:rFonts w:ascii="宋体" w:hAnsi="宋体"/>
          <w:bCs/>
          <w:sz w:val="24"/>
          <w:szCs w:val="24"/>
        </w:rPr>
      </w:pPr>
      <w:r>
        <w:rPr>
          <w:rStyle w:val="23"/>
          <w:rFonts w:ascii="宋体" w:hAnsi="宋体"/>
          <w:sz w:val="24"/>
          <w:szCs w:val="24"/>
        </w:rPr>
        <w:t>将围油栏采用链状或牵制方式进行布放后，将一定数量的实验油或类似物从某一处布到围油栏的前面，操纵围油栏来对实验油或类似物进行围控，观察围油滞油和扩散经过。观察围油栏是否无法围控实验油或类似物。如果此时实验油或类似物被围拢在围油栏的内部并保持稳定，则按下述方法观测实验油或类似物从围油栏下面逃逸所花费的时间：围油栏从测试开始45min后，观察围油栏是否在波峰间产生拱起失效或是否发生越过流失，观察滞留在围油栏内部的实验油或类似物量的变化，连续泄漏时的流速或观察45min内是否围控了大半部分实验油或类似物。拖带围油栏，随着围油栏内的实验油或类似物厚度的增加，观察围油栏的吃水变化以及是否发生泻放流失，当海况较差时，溢油在涡流情况下将被分散，观察油从围油栏下面逸出的情况。观察并记录波的运动，围油栏附近波的行为、波浪、风等情况。</w:t>
      </w:r>
    </w:p>
    <w:p>
      <w:pPr>
        <w:numPr>
          <w:ilvl w:val="0"/>
          <w:numId w:val="5"/>
        </w:numPr>
        <w:spacing w:line="400" w:lineRule="exact"/>
        <w:rPr>
          <w:rStyle w:val="23"/>
          <w:rFonts w:ascii="宋体" w:hAnsi="宋体"/>
          <w:bCs/>
          <w:sz w:val="24"/>
          <w:szCs w:val="24"/>
        </w:rPr>
      </w:pPr>
      <w:r>
        <w:rPr>
          <w:rStyle w:val="23"/>
          <w:rFonts w:ascii="宋体" w:hAnsi="宋体"/>
          <w:bCs/>
          <w:sz w:val="24"/>
          <w:szCs w:val="24"/>
        </w:rPr>
        <w:t>试验完毕或试验过程中填表：“</w:t>
      </w:r>
      <w:r>
        <w:rPr>
          <w:rStyle w:val="23"/>
          <w:rFonts w:ascii="宋体" w:hAnsi="宋体"/>
          <w:sz w:val="24"/>
          <w:szCs w:val="24"/>
        </w:rPr>
        <w:t>WGJ1100固体浮子式橡胶</w:t>
      </w:r>
      <w:r>
        <w:rPr>
          <w:rStyle w:val="23"/>
          <w:rFonts w:ascii="宋体" w:hAnsi="宋体"/>
          <w:bCs/>
          <w:sz w:val="24"/>
          <w:szCs w:val="24"/>
        </w:rPr>
        <w:t>围油栏现场评估试验记录表”。</w:t>
      </w:r>
    </w:p>
    <w:p>
      <w:pPr>
        <w:spacing w:line="400" w:lineRule="exact"/>
        <w:rPr>
          <w:rStyle w:val="23"/>
          <w:rFonts w:ascii="宋体" w:hAnsi="宋体"/>
          <w:b/>
          <w:bCs/>
          <w:sz w:val="30"/>
          <w:szCs w:val="30"/>
        </w:rPr>
      </w:pPr>
      <w:r>
        <w:rPr>
          <w:rStyle w:val="23"/>
          <w:rFonts w:ascii="宋体" w:hAnsi="宋体"/>
          <w:b/>
          <w:bCs/>
          <w:sz w:val="30"/>
          <w:szCs w:val="30"/>
        </w:rPr>
        <w:t>六、</w:t>
      </w:r>
      <w:r>
        <w:rPr>
          <w:rStyle w:val="23"/>
          <w:rFonts w:ascii="宋体" w:hAnsi="宋体"/>
          <w:b/>
          <w:bCs/>
          <w:sz w:val="28"/>
          <w:szCs w:val="28"/>
        </w:rPr>
        <w:t>围油栏照片</w:t>
      </w:r>
    </w:p>
    <w:p>
      <w:r>
        <w:drawing>
          <wp:inline distT="0" distB="0" distL="0" distR="0">
            <wp:extent cx="2387600" cy="1752600"/>
            <wp:effectExtent l="0" t="0" r="1270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referRelativeResize="0">
                      <a:picLocks noChangeAspect="1" noChangeArrowheads="1"/>
                    </pic:cNvPicPr>
                  </pic:nvPicPr>
                  <pic:blipFill>
                    <a:blip r:embed="rId15" cstate="print"/>
                    <a:srcRect/>
                    <a:stretch>
                      <a:fillRect/>
                    </a:stretch>
                  </pic:blipFill>
                  <pic:spPr>
                    <a:xfrm>
                      <a:off x="0" y="0"/>
                      <a:ext cx="2387757" cy="1752600"/>
                    </a:xfrm>
                    <a:prstGeom prst="rect">
                      <a:avLst/>
                    </a:prstGeom>
                    <a:noFill/>
                    <a:ln w="9525">
                      <a:noFill/>
                      <a:miter lim="800000"/>
                      <a:headEnd/>
                      <a:tailEnd/>
                    </a:ln>
                  </pic:spPr>
                </pic:pic>
              </a:graphicData>
            </a:graphic>
          </wp:inline>
        </w:drawing>
      </w:r>
      <w:r>
        <w:rPr>
          <w:rStyle w:val="23"/>
          <w:rFonts w:hint="eastAsia"/>
        </w:rPr>
        <w:t xml:space="preserve">  </w:t>
      </w:r>
      <w:r>
        <w:drawing>
          <wp:inline distT="0" distB="0" distL="0" distR="0">
            <wp:extent cx="2698750" cy="1752600"/>
            <wp:effectExtent l="0" t="0" r="6350" b="0"/>
            <wp:docPr id="6" name="图片 6" descr="C:\Users\ADMINI~1\AppData\Local\Temp\WeChat Files\2141d00c224c03f6d0c07946ab823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2141d00c224c03f6d0c07946ab8230f.jpg"/>
                    <pic:cNvPicPr>
                      <a:picLocks noChangeAspect="1" noChangeArrowheads="1"/>
                    </pic:cNvPicPr>
                  </pic:nvPicPr>
                  <pic:blipFill>
                    <a:blip r:embed="rId16" cstate="print"/>
                    <a:srcRect/>
                    <a:stretch>
                      <a:fillRect/>
                    </a:stretch>
                  </pic:blipFill>
                  <pic:spPr>
                    <a:xfrm>
                      <a:off x="0" y="0"/>
                      <a:ext cx="2703525" cy="1755650"/>
                    </a:xfrm>
                    <a:prstGeom prst="rect">
                      <a:avLst/>
                    </a:prstGeom>
                    <a:noFill/>
                    <a:ln w="9525">
                      <a:noFill/>
                      <a:miter lim="800000"/>
                      <a:headEnd/>
                      <a:tailEnd/>
                    </a:ln>
                  </pic:spPr>
                </pic:pic>
              </a:graphicData>
            </a:graphic>
          </wp:inline>
        </w:drawing>
      </w:r>
    </w:p>
    <w:p>
      <w:pPr>
        <w:spacing w:line="600" w:lineRule="exact"/>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widowControl/>
        <w:jc w:val="left"/>
        <w:rPr>
          <w:rFonts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6"/>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widowControl/>
        <w:spacing w:line="240" w:lineRule="auto"/>
        <w:ind w:left="510" w:hanging="510"/>
        <w:textAlignment w:val="baseline"/>
      </w:pPr>
    </w:lvl>
    <w:lvl w:ilvl="1" w:tentative="0">
      <w:start w:val="1"/>
      <w:numFmt w:val="lowerLetter"/>
      <w:lvlText w:val="%1)"/>
      <w:lvlJc w:val="left"/>
      <w:pPr>
        <w:widowControl/>
        <w:spacing w:line="240" w:lineRule="auto"/>
        <w:ind w:left="84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1">
    <w:nsid w:val="0000000B"/>
    <w:multiLevelType w:val="multilevel"/>
    <w:tmpl w:val="0000000B"/>
    <w:lvl w:ilvl="0" w:tentative="0">
      <w:start w:val="1"/>
      <w:numFmt w:val="decimal"/>
      <w:lvlText w:val="%1、"/>
      <w:lvlJc w:val="left"/>
      <w:pPr>
        <w:widowControl/>
        <w:spacing w:line="240" w:lineRule="auto"/>
        <w:ind w:left="1005" w:hanging="720"/>
        <w:textAlignment w:val="baseline"/>
      </w:pPr>
    </w:lvl>
    <w:lvl w:ilvl="1" w:tentative="0">
      <w:start w:val="1"/>
      <w:numFmt w:val="decimal"/>
      <w:lvlText w:val="%1)"/>
      <w:lvlJc w:val="left"/>
      <w:pPr>
        <w:widowControl/>
        <w:spacing w:line="240" w:lineRule="auto"/>
        <w:ind w:left="600" w:hanging="420"/>
        <w:textAlignment w:val="baseline"/>
      </w:pPr>
    </w:lvl>
    <w:lvl w:ilvl="2" w:tentative="0">
      <w:start w:val="1"/>
      <w:numFmt w:val="lowerRoman"/>
      <w:lvlText w:val="%1."/>
      <w:lvlJc w:val="right"/>
      <w:pPr>
        <w:widowControl/>
        <w:spacing w:line="240" w:lineRule="auto"/>
        <w:ind w:left="1545" w:hanging="420"/>
        <w:textAlignment w:val="baseline"/>
      </w:pPr>
    </w:lvl>
    <w:lvl w:ilvl="3" w:tentative="0">
      <w:start w:val="1"/>
      <w:numFmt w:val="decimal"/>
      <w:lvlText w:val="%1."/>
      <w:lvlJc w:val="left"/>
      <w:pPr>
        <w:widowControl/>
        <w:spacing w:line="240" w:lineRule="auto"/>
        <w:ind w:left="1965" w:hanging="420"/>
        <w:textAlignment w:val="baseline"/>
      </w:pPr>
    </w:lvl>
    <w:lvl w:ilvl="4" w:tentative="0">
      <w:start w:val="1"/>
      <w:numFmt w:val="lowerLetter"/>
      <w:lvlText w:val="%1)"/>
      <w:lvlJc w:val="left"/>
      <w:pPr>
        <w:widowControl/>
        <w:spacing w:line="240" w:lineRule="auto"/>
        <w:ind w:left="2385" w:hanging="420"/>
        <w:textAlignment w:val="baseline"/>
      </w:pPr>
    </w:lvl>
    <w:lvl w:ilvl="5" w:tentative="0">
      <w:start w:val="1"/>
      <w:numFmt w:val="lowerRoman"/>
      <w:lvlText w:val="%1."/>
      <w:lvlJc w:val="right"/>
      <w:pPr>
        <w:widowControl/>
        <w:spacing w:line="240" w:lineRule="auto"/>
        <w:ind w:left="2805" w:hanging="420"/>
        <w:textAlignment w:val="baseline"/>
      </w:pPr>
    </w:lvl>
    <w:lvl w:ilvl="6" w:tentative="0">
      <w:start w:val="1"/>
      <w:numFmt w:val="decimal"/>
      <w:lvlText w:val="%1."/>
      <w:lvlJc w:val="left"/>
      <w:pPr>
        <w:widowControl/>
        <w:spacing w:line="240" w:lineRule="auto"/>
        <w:ind w:left="3225" w:hanging="420"/>
        <w:textAlignment w:val="baseline"/>
      </w:pPr>
    </w:lvl>
    <w:lvl w:ilvl="7" w:tentative="0">
      <w:start w:val="1"/>
      <w:numFmt w:val="lowerLetter"/>
      <w:lvlText w:val="%1)"/>
      <w:lvlJc w:val="left"/>
      <w:pPr>
        <w:widowControl/>
        <w:spacing w:line="240" w:lineRule="auto"/>
        <w:ind w:left="3645" w:hanging="420"/>
        <w:textAlignment w:val="baseline"/>
      </w:pPr>
    </w:lvl>
    <w:lvl w:ilvl="8" w:tentative="0">
      <w:start w:val="1"/>
      <w:numFmt w:val="lowerRoman"/>
      <w:lvlText w:val="%1."/>
      <w:lvlJc w:val="right"/>
      <w:pPr>
        <w:widowControl/>
        <w:spacing w:line="240" w:lineRule="auto"/>
        <w:ind w:left="4065" w:hanging="420"/>
        <w:textAlignment w:val="baseline"/>
      </w:pPr>
    </w:lvl>
  </w:abstractNum>
  <w:abstractNum w:abstractNumId="2">
    <w:nsid w:val="0000000E"/>
    <w:multiLevelType w:val="multilevel"/>
    <w:tmpl w:val="0000000E"/>
    <w:lvl w:ilvl="0" w:tentative="0">
      <w:start w:val="1"/>
      <w:numFmt w:val="decimal"/>
      <w:lvlText w:val="%1)"/>
      <w:lvlJc w:val="left"/>
      <w:pPr>
        <w:widowControl/>
        <w:spacing w:line="240" w:lineRule="auto"/>
        <w:ind w:left="600" w:hanging="420"/>
        <w:textAlignment w:val="baseline"/>
      </w:pPr>
    </w:lvl>
    <w:lvl w:ilvl="1" w:tentative="0">
      <w:start w:val="1"/>
      <w:numFmt w:val="lowerLetter"/>
      <w:lvlText w:val="%1)"/>
      <w:lvlJc w:val="left"/>
      <w:pPr>
        <w:widowControl/>
        <w:spacing w:line="240" w:lineRule="auto"/>
        <w:ind w:left="84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3">
    <w:nsid w:val="0000000F"/>
    <w:multiLevelType w:val="multilevel"/>
    <w:tmpl w:val="0000000F"/>
    <w:lvl w:ilvl="0" w:tentative="0">
      <w:start w:val="1"/>
      <w:numFmt w:val="decimal"/>
      <w:lvlText w:val="%1)"/>
      <w:lvlJc w:val="left"/>
      <w:pPr>
        <w:widowControl/>
        <w:spacing w:line="240" w:lineRule="auto"/>
        <w:ind w:left="510" w:hanging="510"/>
        <w:textAlignment w:val="baseline"/>
      </w:pPr>
    </w:lvl>
    <w:lvl w:ilvl="1" w:tentative="0">
      <w:start w:val="1"/>
      <w:numFmt w:val="decimal"/>
      <w:lvlText w:val="%1)"/>
      <w:lvlJc w:val="left"/>
      <w:pPr>
        <w:widowControl/>
        <w:spacing w:line="240" w:lineRule="auto"/>
        <w:ind w:left="420" w:hanging="420"/>
        <w:textAlignment w:val="baseline"/>
      </w:pPr>
    </w:lvl>
    <w:lvl w:ilvl="2" w:tentative="0">
      <w:start w:val="1"/>
      <w:numFmt w:val="lowerRoman"/>
      <w:lvlText w:val="%1."/>
      <w:lvlJc w:val="right"/>
      <w:pPr>
        <w:widowControl/>
        <w:spacing w:line="240" w:lineRule="auto"/>
        <w:ind w:left="1260" w:hanging="420"/>
        <w:textAlignment w:val="baseline"/>
      </w:pPr>
    </w:lvl>
    <w:lvl w:ilvl="3" w:tentative="0">
      <w:start w:val="1"/>
      <w:numFmt w:val="decimal"/>
      <w:lvlText w:val="%1."/>
      <w:lvlJc w:val="left"/>
      <w:pPr>
        <w:widowControl/>
        <w:spacing w:line="240" w:lineRule="auto"/>
        <w:ind w:left="1680" w:hanging="420"/>
        <w:textAlignment w:val="baseline"/>
      </w:pPr>
    </w:lvl>
    <w:lvl w:ilvl="4" w:tentative="0">
      <w:start w:val="1"/>
      <w:numFmt w:val="lowerLetter"/>
      <w:lvlText w:val="%1)"/>
      <w:lvlJc w:val="left"/>
      <w:pPr>
        <w:widowControl/>
        <w:spacing w:line="240" w:lineRule="auto"/>
        <w:ind w:left="2100" w:hanging="420"/>
        <w:textAlignment w:val="baseline"/>
      </w:pPr>
    </w:lvl>
    <w:lvl w:ilvl="5" w:tentative="0">
      <w:start w:val="1"/>
      <w:numFmt w:val="lowerRoman"/>
      <w:lvlText w:val="%1."/>
      <w:lvlJc w:val="right"/>
      <w:pPr>
        <w:widowControl/>
        <w:spacing w:line="240" w:lineRule="auto"/>
        <w:ind w:left="2520" w:hanging="420"/>
        <w:textAlignment w:val="baseline"/>
      </w:pPr>
    </w:lvl>
    <w:lvl w:ilvl="6" w:tentative="0">
      <w:start w:val="1"/>
      <w:numFmt w:val="decimal"/>
      <w:lvlText w:val="%1."/>
      <w:lvlJc w:val="left"/>
      <w:pPr>
        <w:widowControl/>
        <w:spacing w:line="240" w:lineRule="auto"/>
        <w:ind w:left="2940" w:hanging="420"/>
        <w:textAlignment w:val="baseline"/>
      </w:pPr>
    </w:lvl>
    <w:lvl w:ilvl="7" w:tentative="0">
      <w:start w:val="1"/>
      <w:numFmt w:val="lowerLetter"/>
      <w:lvlText w:val="%1)"/>
      <w:lvlJc w:val="left"/>
      <w:pPr>
        <w:widowControl/>
        <w:spacing w:line="240" w:lineRule="auto"/>
        <w:ind w:left="3360" w:hanging="420"/>
        <w:textAlignment w:val="baseline"/>
      </w:pPr>
    </w:lvl>
    <w:lvl w:ilvl="8" w:tentative="0">
      <w:start w:val="1"/>
      <w:numFmt w:val="lowerRoman"/>
      <w:lvlText w:val="%1."/>
      <w:lvlJc w:val="right"/>
      <w:pPr>
        <w:widowControl/>
        <w:spacing w:line="240" w:lineRule="auto"/>
        <w:ind w:left="3780" w:hanging="420"/>
        <w:textAlignment w:val="baseline"/>
      </w:pPr>
    </w:lvl>
  </w:abstractNum>
  <w:abstractNum w:abstractNumId="4">
    <w:nsid w:val="58613EF7"/>
    <w:multiLevelType w:val="singleLevel"/>
    <w:tmpl w:val="58613EF7"/>
    <w:lvl w:ilvl="0" w:tentative="0">
      <w:start w:val="2"/>
      <w:numFmt w:val="chineseCounting"/>
      <w:suff w:val="nothing"/>
      <w:lvlText w:val="（%1）"/>
      <w:lvlJc w:val="left"/>
      <w:rPr>
        <w:rFonts w:hint="eastAsia"/>
      </w:rPr>
    </w:lvl>
  </w:abstractNum>
  <w:abstractNum w:abstractNumId="5">
    <w:nsid w:val="7A45D22C"/>
    <w:multiLevelType w:val="singleLevel"/>
    <w:tmpl w:val="7A45D22C"/>
    <w:lvl w:ilvl="0" w:tentative="0">
      <w:start w:val="5"/>
      <w:numFmt w:val="chineseCounting"/>
      <w:suff w:val="nothing"/>
      <w:lvlText w:val="%1、"/>
      <w:lvlJc w:val="left"/>
      <w:rPr>
        <w:rFonts w:hint="eastAsia"/>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60B7"/>
    <w:rsid w:val="00136B0D"/>
    <w:rsid w:val="00160290"/>
    <w:rsid w:val="00166793"/>
    <w:rsid w:val="00175BB7"/>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769C4"/>
    <w:rsid w:val="002B3E65"/>
    <w:rsid w:val="002F51AC"/>
    <w:rsid w:val="002F66BD"/>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C7A45"/>
    <w:rsid w:val="00413897"/>
    <w:rsid w:val="00423C19"/>
    <w:rsid w:val="004424E8"/>
    <w:rsid w:val="00466243"/>
    <w:rsid w:val="00466845"/>
    <w:rsid w:val="004875EB"/>
    <w:rsid w:val="004975D5"/>
    <w:rsid w:val="00497BFC"/>
    <w:rsid w:val="004C1280"/>
    <w:rsid w:val="004C289D"/>
    <w:rsid w:val="004F5E27"/>
    <w:rsid w:val="005142FA"/>
    <w:rsid w:val="00527733"/>
    <w:rsid w:val="0053268D"/>
    <w:rsid w:val="00560EB5"/>
    <w:rsid w:val="005633CB"/>
    <w:rsid w:val="0058559E"/>
    <w:rsid w:val="005D4F71"/>
    <w:rsid w:val="005D7EAF"/>
    <w:rsid w:val="005E0624"/>
    <w:rsid w:val="0061433F"/>
    <w:rsid w:val="006545BB"/>
    <w:rsid w:val="00665CDB"/>
    <w:rsid w:val="006734DC"/>
    <w:rsid w:val="006835A9"/>
    <w:rsid w:val="00693CB5"/>
    <w:rsid w:val="006C09FB"/>
    <w:rsid w:val="006D00BD"/>
    <w:rsid w:val="006D3CEC"/>
    <w:rsid w:val="006D5E62"/>
    <w:rsid w:val="006E4DE8"/>
    <w:rsid w:val="0070428B"/>
    <w:rsid w:val="00711ACD"/>
    <w:rsid w:val="00724955"/>
    <w:rsid w:val="007254B5"/>
    <w:rsid w:val="0074588B"/>
    <w:rsid w:val="00745DDD"/>
    <w:rsid w:val="00746466"/>
    <w:rsid w:val="00753CD1"/>
    <w:rsid w:val="00781AF0"/>
    <w:rsid w:val="00786EDE"/>
    <w:rsid w:val="007875CD"/>
    <w:rsid w:val="007B52EA"/>
    <w:rsid w:val="007D12CA"/>
    <w:rsid w:val="007D3B2F"/>
    <w:rsid w:val="007D630F"/>
    <w:rsid w:val="007E0D6B"/>
    <w:rsid w:val="007E6B9F"/>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B660A"/>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F29F9"/>
    <w:rsid w:val="00B01341"/>
    <w:rsid w:val="00B0144D"/>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43358"/>
    <w:rsid w:val="00C54EA7"/>
    <w:rsid w:val="00C56465"/>
    <w:rsid w:val="00C743A3"/>
    <w:rsid w:val="00C85C6D"/>
    <w:rsid w:val="00C97E7F"/>
    <w:rsid w:val="00D24639"/>
    <w:rsid w:val="00D32CC0"/>
    <w:rsid w:val="00D74586"/>
    <w:rsid w:val="00D84546"/>
    <w:rsid w:val="00DA002C"/>
    <w:rsid w:val="00DD194E"/>
    <w:rsid w:val="00DD3DDB"/>
    <w:rsid w:val="00DD7DB9"/>
    <w:rsid w:val="00E224BD"/>
    <w:rsid w:val="00E2759B"/>
    <w:rsid w:val="00E30627"/>
    <w:rsid w:val="00E45A9C"/>
    <w:rsid w:val="00E50D02"/>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44923"/>
    <w:rsid w:val="08826623"/>
    <w:rsid w:val="09E67744"/>
    <w:rsid w:val="0CCD460E"/>
    <w:rsid w:val="0F905413"/>
    <w:rsid w:val="11E467E9"/>
    <w:rsid w:val="1444244B"/>
    <w:rsid w:val="14EA645D"/>
    <w:rsid w:val="19181A3A"/>
    <w:rsid w:val="1A5C1BD3"/>
    <w:rsid w:val="20C2156A"/>
    <w:rsid w:val="216E14AA"/>
    <w:rsid w:val="217D3E57"/>
    <w:rsid w:val="225D796E"/>
    <w:rsid w:val="24EC6623"/>
    <w:rsid w:val="2A98798D"/>
    <w:rsid w:val="2BBD3669"/>
    <w:rsid w:val="2DD51314"/>
    <w:rsid w:val="2E16582B"/>
    <w:rsid w:val="2E4116FA"/>
    <w:rsid w:val="31262BAF"/>
    <w:rsid w:val="330F093A"/>
    <w:rsid w:val="34E37CA8"/>
    <w:rsid w:val="359E47FF"/>
    <w:rsid w:val="35B72FCB"/>
    <w:rsid w:val="35DA3E68"/>
    <w:rsid w:val="36E674AE"/>
    <w:rsid w:val="379A3E49"/>
    <w:rsid w:val="391E61C3"/>
    <w:rsid w:val="3F3D735A"/>
    <w:rsid w:val="40D519B8"/>
    <w:rsid w:val="416D2207"/>
    <w:rsid w:val="43D031FE"/>
    <w:rsid w:val="43EC12FF"/>
    <w:rsid w:val="44366C11"/>
    <w:rsid w:val="44E509D4"/>
    <w:rsid w:val="46825CD1"/>
    <w:rsid w:val="4ADD1BA1"/>
    <w:rsid w:val="4B0853C3"/>
    <w:rsid w:val="4DC0511E"/>
    <w:rsid w:val="4FAC5BC3"/>
    <w:rsid w:val="4FC61FF0"/>
    <w:rsid w:val="50846203"/>
    <w:rsid w:val="538763B9"/>
    <w:rsid w:val="53D83C71"/>
    <w:rsid w:val="540463E4"/>
    <w:rsid w:val="553E5E80"/>
    <w:rsid w:val="55DC546E"/>
    <w:rsid w:val="579C3951"/>
    <w:rsid w:val="57F90679"/>
    <w:rsid w:val="596D6B7C"/>
    <w:rsid w:val="5CEC747F"/>
    <w:rsid w:val="5DDA4712"/>
    <w:rsid w:val="66202ABE"/>
    <w:rsid w:val="66441755"/>
    <w:rsid w:val="66CF713B"/>
    <w:rsid w:val="683F6E19"/>
    <w:rsid w:val="68961ACE"/>
    <w:rsid w:val="69C166FE"/>
    <w:rsid w:val="6AE467D8"/>
    <w:rsid w:val="6C656215"/>
    <w:rsid w:val="6D9745DB"/>
    <w:rsid w:val="726141AB"/>
    <w:rsid w:val="7406451D"/>
    <w:rsid w:val="756A3232"/>
    <w:rsid w:val="77DF544D"/>
    <w:rsid w:val="783458C3"/>
    <w:rsid w:val="7A1E0C67"/>
    <w:rsid w:val="7B044DE1"/>
    <w:rsid w:val="7DD76804"/>
    <w:rsid w:val="7E30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 w:type="character" w:customStyle="1" w:styleId="21">
    <w:name w:val="font61"/>
    <w:basedOn w:val="13"/>
    <w:autoRedefine/>
    <w:qFormat/>
    <w:uiPriority w:val="0"/>
    <w:rPr>
      <w:rFonts w:hint="eastAsia" w:ascii="宋体" w:hAnsi="宋体" w:eastAsia="宋体" w:cs="宋体"/>
      <w:color w:val="000000"/>
      <w:sz w:val="20"/>
      <w:szCs w:val="20"/>
      <w:u w:val="none"/>
      <w:vertAlign w:val="superscript"/>
    </w:rPr>
  </w:style>
  <w:style w:type="character" w:customStyle="1" w:styleId="22">
    <w:name w:val="font31"/>
    <w:basedOn w:val="13"/>
    <w:autoRedefine/>
    <w:qFormat/>
    <w:uiPriority w:val="0"/>
    <w:rPr>
      <w:rFonts w:hint="eastAsia" w:ascii="宋体" w:hAnsi="宋体" w:eastAsia="宋体" w:cs="宋体"/>
      <w:color w:val="000000"/>
      <w:sz w:val="20"/>
      <w:szCs w:val="20"/>
      <w:u w:val="none"/>
    </w:rPr>
  </w:style>
  <w:style w:type="character" w:customStyle="1" w:styleId="23">
    <w:name w:val="NormalCharacter"/>
    <w:qFormat/>
    <w:uiPriority w:val="0"/>
  </w:style>
  <w:style w:type="paragraph" w:customStyle="1" w:styleId="24">
    <w:name w:val="Heading1"/>
    <w:basedOn w:val="1"/>
    <w:next w:val="1"/>
    <w:qFormat/>
    <w:uiPriority w:val="0"/>
    <w:pPr>
      <w:keepNext/>
      <w:keepLines/>
      <w:widowControl/>
      <w:spacing w:before="60" w:after="60"/>
      <w:textAlignment w:val="baseline"/>
    </w:pPr>
    <w:rPr>
      <w:b/>
      <w:bCs/>
      <w:kern w:val="44"/>
      <w:sz w:val="28"/>
      <w:szCs w:val="44"/>
    </w:rPr>
  </w:style>
  <w:style w:type="paragraph" w:customStyle="1" w:styleId="25">
    <w:name w:val="Heading2"/>
    <w:basedOn w:val="1"/>
    <w:next w:val="1"/>
    <w:qFormat/>
    <w:uiPriority w:val="0"/>
    <w:pPr>
      <w:keepNext/>
      <w:keepLines/>
      <w:widowControl/>
      <w:snapToGrid w:val="0"/>
      <w:spacing w:before="93" w:after="93"/>
      <w:textAlignment w:val="baseline"/>
    </w:pPr>
    <w:rPr>
      <w:rFonts w:ascii="Arial" w:hAnsi="Arial"/>
      <w:b/>
      <w:bCs/>
      <w:sz w:val="24"/>
      <w:szCs w:val="32"/>
    </w:rPr>
  </w:style>
  <w:style w:type="paragraph" w:customStyle="1" w:styleId="26">
    <w:name w:val="Heading3"/>
    <w:basedOn w:val="1"/>
    <w:next w:val="1"/>
    <w:qFormat/>
    <w:uiPriority w:val="0"/>
    <w:pPr>
      <w:keepNext/>
      <w:keepLines/>
      <w:widowControl/>
      <w:snapToGrid w:val="0"/>
      <w:spacing w:before="160" w:after="160"/>
      <w:textAlignment w:val="baseline"/>
    </w:pPr>
    <w:rPr>
      <w:b/>
      <w:bCs/>
      <w:sz w:val="24"/>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1D52-5482-4D8F-9D8D-E0CE20DA4C2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13554</Words>
  <Characters>14420</Characters>
  <Lines>58</Lines>
  <Paragraphs>16</Paragraphs>
  <TotalTime>0</TotalTime>
  <ScaleCrop>false</ScaleCrop>
  <LinksUpToDate>false</LinksUpToDate>
  <CharactersWithSpaces>15243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2024-06-12T07:09:21Z</dcterms:modified>
  <dc:title>镇江海纳川物流产业发展有限责任公司</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E617128971214F11A0A6819B265D0306</vt:lpwstr>
  </property>
</Properties>
</file>