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53F4">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江苏索普化工股份有限公司UPS技术规范</w:t>
      </w:r>
    </w:p>
    <w:p w14:paraId="22799C6E">
      <w:pPr>
        <w:spacing w:line="600" w:lineRule="exact"/>
        <w:jc w:val="center"/>
        <w:rPr>
          <w:rFonts w:ascii="宋体" w:hAnsi="宋体"/>
          <w:b/>
          <w:sz w:val="44"/>
          <w:szCs w:val="44"/>
        </w:rPr>
      </w:pPr>
    </w:p>
    <w:p w14:paraId="6DCBA07F">
      <w:pPr>
        <w:spacing w:line="600" w:lineRule="exact"/>
        <w:rPr>
          <w:rFonts w:ascii="黑体" w:hAnsi="黑体" w:eastAsia="黑体" w:cs="仿宋_GB2312"/>
          <w:sz w:val="34"/>
          <w:szCs w:val="34"/>
        </w:rPr>
      </w:pPr>
      <w:r>
        <w:rPr>
          <w:rFonts w:hint="eastAsia" w:ascii="黑体" w:hAnsi="黑体" w:eastAsia="黑体" w:cs="仿宋_GB2312"/>
          <w:sz w:val="34"/>
          <w:szCs w:val="34"/>
        </w:rPr>
        <w:t>一、总则</w:t>
      </w:r>
    </w:p>
    <w:p w14:paraId="2277C95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本技术规格书适用于江苏索普化工股份有限公司乙酯VOC不间断电源（以下简称UPS）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14:paraId="09BF668C">
      <w:pPr>
        <w:spacing w:line="600" w:lineRule="exact"/>
        <w:ind w:firstLine="680" w:firstLineChars="200"/>
        <w:rPr>
          <w:rFonts w:ascii="仿宋_GB2312" w:hAnsi="仿宋" w:eastAsia="仿宋_GB2312" w:cs="仿宋_GB2312"/>
          <w:sz w:val="34"/>
          <w:szCs w:val="34"/>
        </w:rPr>
      </w:pPr>
      <w:bookmarkStart w:id="0" w:name="_Toc137190318"/>
      <w:bookmarkStart w:id="1" w:name="_Toc137188124"/>
      <w:bookmarkStart w:id="2" w:name="_Toc137187752"/>
      <w:bookmarkStart w:id="3" w:name="_Toc137193788"/>
      <w:r>
        <w:rPr>
          <w:rFonts w:hint="eastAsia" w:ascii="仿宋_GB2312" w:hAnsi="仿宋" w:eastAsia="仿宋_GB2312" w:cs="仿宋_GB2312"/>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14:paraId="254CA0C7">
      <w:pPr>
        <w:spacing w:line="600" w:lineRule="exact"/>
        <w:ind w:firstLine="680" w:firstLineChars="200"/>
        <w:rPr>
          <w:rFonts w:ascii="仿宋_GB2312" w:hAnsi="仿宋" w:eastAsia="仿宋_GB2312" w:cs="仿宋_GB2312"/>
          <w:sz w:val="34"/>
          <w:szCs w:val="34"/>
        </w:rPr>
      </w:pPr>
      <w:bookmarkStart w:id="4" w:name="_Toc137188125"/>
      <w:bookmarkStart w:id="5" w:name="_Toc137193789"/>
      <w:bookmarkStart w:id="6" w:name="_Toc137187753"/>
      <w:bookmarkStart w:id="7" w:name="_Toc137190319"/>
      <w:r>
        <w:rPr>
          <w:rFonts w:hint="eastAsia" w:ascii="仿宋_GB2312" w:hAnsi="仿宋" w:eastAsia="仿宋_GB2312" w:cs="仿宋_GB2312"/>
          <w:sz w:val="34"/>
          <w:szCs w:val="34"/>
        </w:rPr>
        <w:t>如果投标产品的技术性能、指标低于或不符合本技术规格书所提出的要求，应在投标文件的《技术规格偏离表》中作出明确的和详细的说明。</w:t>
      </w:r>
      <w:bookmarkEnd w:id="4"/>
      <w:bookmarkEnd w:id="5"/>
      <w:bookmarkEnd w:id="6"/>
      <w:bookmarkEnd w:id="7"/>
    </w:p>
    <w:p w14:paraId="64F44923">
      <w:pPr>
        <w:spacing w:line="600" w:lineRule="exact"/>
        <w:ind w:firstLine="680" w:firstLineChars="200"/>
        <w:rPr>
          <w:rFonts w:ascii="仿宋_GB2312" w:hAnsi="仿宋" w:eastAsia="仿宋_GB2312" w:cs="仿宋_GB2312"/>
          <w:sz w:val="34"/>
          <w:szCs w:val="34"/>
        </w:rPr>
      </w:pPr>
      <w:bookmarkStart w:id="8" w:name="_Toc137188126"/>
      <w:bookmarkStart w:id="9" w:name="_Toc137190320"/>
      <w:bookmarkStart w:id="10" w:name="_Toc137193790"/>
      <w:bookmarkStart w:id="11" w:name="_Toc137187754"/>
      <w:r>
        <w:rPr>
          <w:rFonts w:hint="eastAsia" w:ascii="仿宋_GB2312" w:hAnsi="仿宋" w:eastAsia="仿宋_GB2312" w:cs="仿宋_GB2312"/>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8"/>
      <w:bookmarkEnd w:id="9"/>
      <w:bookmarkEnd w:id="10"/>
      <w:bookmarkEnd w:id="11"/>
      <w:r>
        <w:rPr>
          <w:rFonts w:hint="eastAsia" w:ascii="仿宋_GB2312" w:hAnsi="仿宋" w:eastAsia="仿宋_GB2312" w:cs="仿宋_GB2312"/>
          <w:sz w:val="34"/>
          <w:szCs w:val="34"/>
        </w:rPr>
        <w:t>被废标或被取消中标资格，承担退货和赔偿招标方经济损失。</w:t>
      </w:r>
    </w:p>
    <w:p w14:paraId="1C268313">
      <w:pPr>
        <w:spacing w:line="600" w:lineRule="exact"/>
        <w:ind w:firstLine="680" w:firstLineChars="200"/>
        <w:rPr>
          <w:rFonts w:ascii="仿宋_GB2312" w:hAnsi="仿宋" w:eastAsia="仿宋_GB2312" w:cs="仿宋_GB2312"/>
          <w:sz w:val="34"/>
          <w:szCs w:val="34"/>
        </w:rPr>
      </w:pPr>
      <w:bookmarkStart w:id="12" w:name="_Toc137188127"/>
      <w:bookmarkStart w:id="13" w:name="_Toc137187755"/>
      <w:bookmarkStart w:id="14" w:name="_Toc137193791"/>
      <w:bookmarkStart w:id="15" w:name="_Toc137190321"/>
      <w:r>
        <w:rPr>
          <w:rFonts w:hint="eastAsia" w:ascii="仿宋_GB2312" w:hAnsi="仿宋" w:eastAsia="仿宋_GB2312" w:cs="仿宋_GB2312"/>
          <w:sz w:val="34"/>
          <w:szCs w:val="34"/>
        </w:rPr>
        <w:t>投标人提供的技术文件中必须包括推荐产品的样本和UPS主机、蓄电池等主要产品的国家级测试报告。</w:t>
      </w:r>
      <w:bookmarkEnd w:id="12"/>
      <w:bookmarkEnd w:id="13"/>
      <w:bookmarkEnd w:id="14"/>
      <w:bookmarkEnd w:id="15"/>
    </w:p>
    <w:p w14:paraId="2181A931">
      <w:pPr>
        <w:spacing w:line="600" w:lineRule="exact"/>
        <w:ind w:firstLine="680" w:firstLineChars="200"/>
        <w:rPr>
          <w:rFonts w:ascii="仿宋_GB2312" w:hAnsi="仿宋" w:eastAsia="仿宋_GB2312" w:cs="仿宋_GB2312"/>
          <w:sz w:val="34"/>
          <w:szCs w:val="34"/>
        </w:rPr>
      </w:pPr>
      <w:bookmarkStart w:id="16" w:name="_Toc137188128"/>
      <w:bookmarkStart w:id="17" w:name="_Toc137190322"/>
      <w:bookmarkStart w:id="18" w:name="_Toc137193792"/>
      <w:bookmarkStart w:id="19" w:name="_Toc137187756"/>
      <w:r>
        <w:rPr>
          <w:rFonts w:hint="eastAsia" w:ascii="仿宋_GB2312" w:hAnsi="仿宋" w:eastAsia="仿宋_GB2312" w:cs="仿宋_GB2312"/>
          <w:sz w:val="34"/>
          <w:szCs w:val="34"/>
        </w:rPr>
        <w:t>本技术规格书所引用的标准如与投标人所执行的标准发生矛盾时，应按较高的标准执行。</w:t>
      </w:r>
      <w:bookmarkEnd w:id="16"/>
      <w:bookmarkEnd w:id="17"/>
      <w:bookmarkEnd w:id="18"/>
      <w:bookmarkEnd w:id="19"/>
    </w:p>
    <w:p w14:paraId="16AD6708">
      <w:pPr>
        <w:spacing w:line="600" w:lineRule="exact"/>
        <w:ind w:firstLine="680" w:firstLineChars="200"/>
        <w:rPr>
          <w:rFonts w:ascii="仿宋_GB2312" w:hAnsi="仿宋" w:eastAsia="仿宋_GB2312" w:cs="仿宋_GB2312"/>
          <w:sz w:val="34"/>
          <w:szCs w:val="34"/>
        </w:rPr>
      </w:pPr>
      <w:bookmarkStart w:id="20" w:name="_Toc137193793"/>
      <w:bookmarkStart w:id="21" w:name="_Toc137190323"/>
      <w:bookmarkStart w:id="22" w:name="_Toc137188129"/>
      <w:bookmarkStart w:id="23" w:name="_Toc137187757"/>
      <w:r>
        <w:rPr>
          <w:rFonts w:hint="eastAsia" w:ascii="仿宋_GB2312" w:hAnsi="仿宋" w:eastAsia="仿宋_GB2312" w:cs="仿宋_GB2312"/>
          <w:sz w:val="34"/>
          <w:szCs w:val="34"/>
        </w:rPr>
        <w:t>投标人提供的一切文件资料均以中文叙述为准。</w:t>
      </w:r>
      <w:bookmarkEnd w:id="20"/>
      <w:bookmarkEnd w:id="21"/>
      <w:bookmarkEnd w:id="22"/>
      <w:bookmarkEnd w:id="23"/>
    </w:p>
    <w:p w14:paraId="035CAEF8">
      <w:pPr>
        <w:spacing w:line="600" w:lineRule="exact"/>
        <w:rPr>
          <w:rFonts w:ascii="黑体" w:hAnsi="黑体" w:eastAsia="黑体"/>
          <w:sz w:val="34"/>
          <w:szCs w:val="34"/>
        </w:rPr>
      </w:pPr>
      <w:r>
        <w:rPr>
          <w:rFonts w:hint="eastAsia" w:ascii="黑体" w:hAnsi="黑体" w:eastAsia="黑体"/>
          <w:sz w:val="34"/>
          <w:szCs w:val="34"/>
        </w:rPr>
        <w:t>二、适用的技术标准与规范</w:t>
      </w:r>
    </w:p>
    <w:p w14:paraId="04B8661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投标产品应该满足下列最新版本的标准和规范的要求。</w:t>
      </w:r>
      <w:bookmarkStart w:id="24" w:name="_Toc137188135"/>
      <w:bookmarkStart w:id="25" w:name="_Toc137193799"/>
      <w:bookmarkStart w:id="26" w:name="_Toc137190329"/>
      <w:bookmarkStart w:id="27" w:name="_Toc137187763"/>
    </w:p>
    <w:bookmarkEnd w:id="24"/>
    <w:bookmarkEnd w:id="25"/>
    <w:bookmarkEnd w:id="26"/>
    <w:bookmarkEnd w:id="27"/>
    <w:p w14:paraId="1973494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GB/T2423.1--2008 电工电子产品基本环境试验规程 试验 A:低温试验方法；</w:t>
      </w:r>
    </w:p>
    <w:p w14:paraId="1ECD3CC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GB/T2423.2--2008 电工电子产品基本环境试验规程 试验 B:高温试验方法；</w:t>
      </w:r>
    </w:p>
    <w:p w14:paraId="1AC3FD8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GB/T2423.9--2001 电工电子产品基本环境试验规程 试验Cb：设备用恒定湿热试验方法；</w:t>
      </w:r>
    </w:p>
    <w:p w14:paraId="4FF3A0C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GB/T3859.2--2013 半导体变流器应用导则；</w:t>
      </w:r>
    </w:p>
    <w:p w14:paraId="5A8E43D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EN50091-1-1、EN50091-2和ENV50091-3标准；</w:t>
      </w:r>
    </w:p>
    <w:p w14:paraId="7140CD2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IEC801-2.3.4.5标准等。</w:t>
      </w:r>
    </w:p>
    <w:p w14:paraId="7E79457D">
      <w:pPr>
        <w:spacing w:line="600" w:lineRule="exact"/>
        <w:rPr>
          <w:rFonts w:ascii="黑体" w:hAnsi="黑体" w:eastAsia="黑体"/>
          <w:sz w:val="34"/>
          <w:szCs w:val="34"/>
        </w:rPr>
      </w:pPr>
      <w:r>
        <w:rPr>
          <w:rFonts w:hint="eastAsia" w:ascii="黑体" w:hAnsi="黑体" w:eastAsia="黑体"/>
          <w:sz w:val="34"/>
          <w:szCs w:val="34"/>
        </w:rPr>
        <w:t>三、环境条件</w:t>
      </w:r>
    </w:p>
    <w:p w14:paraId="417C7FA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环境温度：-5℃～+40℃</w:t>
      </w:r>
    </w:p>
    <w:p w14:paraId="06C3621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相对湿度：≤95%</w:t>
      </w:r>
    </w:p>
    <w:p w14:paraId="2BEE30A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海拔高度：＜1000m</w:t>
      </w:r>
    </w:p>
    <w:p w14:paraId="26FF5F3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地震烈度：7度</w:t>
      </w:r>
    </w:p>
    <w:p w14:paraId="6F96196B">
      <w:pPr>
        <w:spacing w:line="600" w:lineRule="exact"/>
        <w:rPr>
          <w:rFonts w:ascii="黑体" w:hAnsi="黑体" w:eastAsia="黑体"/>
          <w:sz w:val="34"/>
          <w:szCs w:val="34"/>
        </w:rPr>
      </w:pPr>
      <w:r>
        <w:rPr>
          <w:rFonts w:hint="eastAsia" w:ascii="黑体" w:hAnsi="黑体" w:eastAsia="黑体"/>
          <w:sz w:val="34"/>
          <w:szCs w:val="34"/>
        </w:rPr>
        <w:t>四、供货范围</w:t>
      </w:r>
    </w:p>
    <w:p w14:paraId="002C0A7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UPS采用工业级设计，主机内部标配输入、输出隔离变压器；主路旁路双静态转换开关，旁路配置稳压，隔离变压器。</w:t>
      </w:r>
    </w:p>
    <w:p w14:paraId="35092AD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2台UPS主机（</w:t>
      </w:r>
      <w:bookmarkStart w:id="28" w:name="OLE_LINK1"/>
      <w:bookmarkStart w:id="29" w:name="OLE_LINK2"/>
      <w:r>
        <w:rPr>
          <w:rFonts w:hint="eastAsia" w:ascii="仿宋_GB2312" w:hAnsi="仿宋" w:eastAsia="仿宋_GB2312" w:cs="仿宋_GB2312"/>
          <w:sz w:val="34"/>
          <w:szCs w:val="34"/>
        </w:rPr>
        <w:t>10kVA）</w:t>
      </w:r>
      <w:bookmarkEnd w:id="28"/>
      <w:bookmarkEnd w:id="29"/>
      <w:r>
        <w:rPr>
          <w:rFonts w:hint="eastAsia" w:ascii="仿宋_GB2312" w:hAnsi="仿宋" w:eastAsia="仿宋_GB2312" w:cs="仿宋_GB2312"/>
          <w:sz w:val="34"/>
          <w:szCs w:val="34"/>
        </w:rPr>
        <w:t>单机后备1小时电池组、电池柜及智能电池管理系统（具体参数见附件）。</w:t>
      </w:r>
    </w:p>
    <w:p w14:paraId="40FA7CA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供货为成套供货的，买方在UPS现场每套提供两路独立的供电电源及电源电缆，其他所有材料和附件均由卖方提供，卖方应负责现场设备的安装、调试工作和其他现场配合工作。</w:t>
      </w:r>
    </w:p>
    <w:p w14:paraId="06E08351">
      <w:pPr>
        <w:spacing w:line="600" w:lineRule="exact"/>
        <w:rPr>
          <w:rFonts w:ascii="黑体" w:hAnsi="黑体" w:eastAsia="黑体"/>
          <w:sz w:val="34"/>
          <w:szCs w:val="34"/>
        </w:rPr>
      </w:pPr>
      <w:r>
        <w:rPr>
          <w:rFonts w:hint="eastAsia" w:ascii="黑体" w:hAnsi="黑体" w:eastAsia="黑体"/>
          <w:sz w:val="34"/>
          <w:szCs w:val="34"/>
        </w:rPr>
        <w:t>五、UPS系统基本技术要求</w:t>
      </w:r>
    </w:p>
    <w:p w14:paraId="671C4B72">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1.UPS主机</w:t>
      </w:r>
    </w:p>
    <w:p w14:paraId="67A8F28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品牌：必须是国际知名品牌，在石化行业有较多应用业绩,提供相关资质认证及近3年内石油石化系统的应用业绩，采用选用以下产品：</w:t>
      </w:r>
    </w:p>
    <w:p w14:paraId="438A590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维谛技术有限公司（Vertiv Tech Co.，Ltd.)</w:t>
      </w:r>
    </w:p>
    <w:p w14:paraId="34E11D0B">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rPr>
        <w:t>industry S</w:t>
      </w:r>
      <w:r>
        <w:rPr>
          <w:rFonts w:ascii="仿宋_GB2312" w:hAnsi="仿宋" w:eastAsia="仿宋_GB2312" w:cs="仿宋_GB2312"/>
          <w:sz w:val="34"/>
          <w:szCs w:val="34"/>
        </w:rPr>
        <w:t>31</w:t>
      </w:r>
    </w:p>
    <w:p w14:paraId="56E91B4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瑞士固特电子有限公司（GUTOR ELECTRIC LIMITED)  pxw3</w:t>
      </w:r>
      <w:r>
        <w:rPr>
          <w:rFonts w:ascii="仿宋_GB2312" w:hAnsi="仿宋" w:eastAsia="仿宋_GB2312" w:cs="仿宋_GB2312"/>
          <w:sz w:val="34"/>
          <w:szCs w:val="34"/>
        </w:rPr>
        <w:t>1</w:t>
      </w:r>
    </w:p>
    <w:p w14:paraId="556D114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德国北宁电力电子有限公司（Benning power elcctronics Co.,Ltd) ENERTRONIC I31</w:t>
      </w:r>
    </w:p>
    <w:p w14:paraId="4FD85B7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伊顿电源有限公司 91HD</w:t>
      </w:r>
    </w:p>
    <w:p w14:paraId="217ADF0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施耐德电源有限公司 Galaxy PW2</w:t>
      </w:r>
    </w:p>
    <w:p w14:paraId="038A81A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UPS采用三相输入单相输出（输入电压范围为AC380V±20%），输入频率</w:t>
      </w:r>
    </w:p>
    <w:p w14:paraId="423B630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范围为50Hz±10%，额定输出电压AC</w:t>
      </w:r>
      <w:r>
        <w:rPr>
          <w:rFonts w:ascii="仿宋_GB2312" w:hAnsi="仿宋" w:eastAsia="仿宋_GB2312" w:cs="仿宋_GB2312"/>
          <w:sz w:val="34"/>
          <w:szCs w:val="34"/>
        </w:rPr>
        <w:t>22</w:t>
      </w:r>
      <w:r>
        <w:rPr>
          <w:rFonts w:hint="eastAsia" w:ascii="仿宋_GB2312" w:hAnsi="仿宋" w:eastAsia="仿宋_GB2312" w:cs="仿宋_GB2312"/>
          <w:sz w:val="34"/>
          <w:szCs w:val="34"/>
        </w:rPr>
        <w:t>0V±1%。</w:t>
      </w:r>
    </w:p>
    <w:p w14:paraId="097CC54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工作制式：双变换在线式，其市电和蓄电池组之间的切换时间为0秒，逆变停止到自动旁路投入工作的切换时间也为零秒。</w:t>
      </w:r>
    </w:p>
    <w:p w14:paraId="4CB7B3F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类型：工业型，具备防雷击抗浪涌抑制，抗静电放电功能；</w:t>
      </w:r>
    </w:p>
    <w:p w14:paraId="390C372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输入输出隔离：UPS必须具有内置输入输出隔离变压器；</w:t>
      </w:r>
    </w:p>
    <w:p w14:paraId="28AD035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逆变器采用IGBT功率模块；</w:t>
      </w:r>
    </w:p>
    <w:p w14:paraId="52404AB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必须具有“过压、短路、过载、超温”等报警功能及事故、故障自诊断功能。</w:t>
      </w:r>
    </w:p>
    <w:p w14:paraId="2C5C651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UPS旁路电路应由自动旁路和手动检修旁路两部分组成，而UPS自动旁路电路应由空气开关和静态开关组成，采用施耐德断路器。</w:t>
      </w:r>
    </w:p>
    <w:p w14:paraId="0C695B0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UPS的电路板，逆变器等重要器件应进行防腐蚀、酸碱性气体处理，提高电路板等器件的抗腐蚀性。</w:t>
      </w:r>
    </w:p>
    <w:p w14:paraId="42BA34E1">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2.UPS的通信方式</w:t>
      </w:r>
    </w:p>
    <w:p w14:paraId="043E4D1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2.1干接点通信方式</w:t>
      </w:r>
    </w:p>
    <w:p w14:paraId="262E568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提供6对隔离的继电器无源接点</w:t>
      </w:r>
    </w:p>
    <w:p w14:paraId="7259BAB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干接点用于触发指示灯或蜂鸣器，提示用户UPS和电池的运行状态。</w:t>
      </w:r>
    </w:p>
    <w:p w14:paraId="041CC43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提供下列不少于6个UPS运行状态信息：</w:t>
      </w:r>
    </w:p>
    <w:p w14:paraId="0AE3A64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——UPS逆变器供电；</w:t>
      </w:r>
    </w:p>
    <w:p w14:paraId="49F8386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——电池供电；</w:t>
      </w:r>
    </w:p>
    <w:p w14:paraId="16C1C1C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——旁路供电（维修位置）；</w:t>
      </w:r>
    </w:p>
    <w:p w14:paraId="137D610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——电池低电压预报警；</w:t>
      </w:r>
    </w:p>
    <w:p w14:paraId="340DB7A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——综合报警；</w:t>
      </w:r>
    </w:p>
    <w:p w14:paraId="68344A3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——完全关机。</w:t>
      </w:r>
    </w:p>
    <w:p w14:paraId="50265A8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2.2选用RS485或232通信接口板满足</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通讯规约</w:t>
      </w:r>
      <w:r>
        <w:rPr>
          <w:rFonts w:hint="eastAsia" w:ascii="仿宋_GB2312" w:hAnsi="仿宋" w:eastAsia="仿宋_GB2312" w:cs="仿宋_GB2312"/>
          <w:sz w:val="34"/>
          <w:szCs w:val="34"/>
        </w:rPr>
        <w:t>，利用此板，操作人员可用</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w:t>
      </w:r>
      <w:r>
        <w:rPr>
          <w:rFonts w:hint="eastAsia" w:ascii="仿宋_GB2312" w:hAnsi="仿宋" w:eastAsia="仿宋_GB2312" w:cs="仿宋_GB2312"/>
          <w:sz w:val="34"/>
          <w:szCs w:val="34"/>
        </w:rPr>
        <w:t>协议提供的TCP/IP地址和数据表，对应用参数进行设置，通过网络将UPS连接到一个集中管理系统。</w:t>
      </w:r>
    </w:p>
    <w:p w14:paraId="7C091E1C">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3</w:t>
      </w:r>
      <w:r>
        <w:rPr>
          <w:rFonts w:ascii="楷体_GB2312" w:hAnsi="仿宋" w:eastAsia="楷体_GB2312" w:cs="仿宋_GB2312"/>
          <w:sz w:val="34"/>
          <w:szCs w:val="34"/>
        </w:rPr>
        <w:t>.</w:t>
      </w:r>
      <w:r>
        <w:rPr>
          <w:rFonts w:hint="eastAsia" w:ascii="楷体_GB2312" w:hAnsi="仿宋" w:eastAsia="楷体_GB2312" w:cs="仿宋_GB2312"/>
          <w:sz w:val="34"/>
          <w:szCs w:val="34"/>
        </w:rPr>
        <w:t>UPS的主要技术性能</w:t>
      </w:r>
    </w:p>
    <w:p w14:paraId="702BF21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3.1 UPS应采用先进的谐波全面控制技术、UPS的电压谐波失真度应符合下列技术指标</w:t>
      </w:r>
    </w:p>
    <w:p w14:paraId="26C1780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带100%线性负载时，电压总谐波失真度＜2%</w:t>
      </w:r>
    </w:p>
    <w:p w14:paraId="4F8D296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带100%非线性负载时，电压总谐波失真度＜3%</w:t>
      </w:r>
    </w:p>
    <w:p w14:paraId="6F325A2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3.2</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UPS应具有良好的动态响应特性，在0-100%负载突变时，UPS输出电压变化应小于±2%，且在20ms内恢复到±1%。</w:t>
      </w:r>
    </w:p>
    <w:p w14:paraId="5505661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3.3</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UPS应具有频率高速跟踪能力，频率跟踪速度要求达到1Hz/s</w:t>
      </w:r>
    </w:p>
    <w:p w14:paraId="7A3AEFAE">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4</w:t>
      </w:r>
      <w:r>
        <w:rPr>
          <w:rFonts w:ascii="楷体_GB2312" w:hAnsi="仿宋" w:eastAsia="楷体_GB2312" w:cs="仿宋_GB2312"/>
          <w:sz w:val="34"/>
          <w:szCs w:val="34"/>
        </w:rPr>
        <w:t>.</w:t>
      </w:r>
      <w:r>
        <w:rPr>
          <w:rFonts w:hint="eastAsia" w:ascii="楷体_GB2312" w:hAnsi="仿宋" w:eastAsia="楷体_GB2312" w:cs="仿宋_GB2312"/>
          <w:sz w:val="34"/>
          <w:szCs w:val="34"/>
        </w:rPr>
        <w:t>UPS应具有下列基本功能</w:t>
      </w:r>
    </w:p>
    <w:p w14:paraId="0239991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4</w:t>
      </w:r>
      <w:r>
        <w:rPr>
          <w:rFonts w:ascii="仿宋_GB2312" w:hAnsi="仿宋" w:eastAsia="仿宋_GB2312" w:cs="仿宋_GB2312"/>
          <w:sz w:val="34"/>
          <w:szCs w:val="34"/>
        </w:rPr>
        <w:t>.1</w:t>
      </w:r>
      <w:r>
        <w:rPr>
          <w:rFonts w:hint="eastAsia" w:ascii="仿宋_GB2312" w:hAnsi="仿宋" w:eastAsia="仿宋_GB2312" w:cs="仿宋_GB2312"/>
          <w:sz w:val="34"/>
          <w:szCs w:val="34"/>
        </w:rPr>
        <w:t>对电池的自动检测功能</w:t>
      </w:r>
    </w:p>
    <w:p w14:paraId="5A8091A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蓄电池剩余后备时间的计算和预报，并在显示屏上实时显示。</w:t>
      </w:r>
    </w:p>
    <w:p w14:paraId="4476DE5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电池的在线检测应包括：电池电路测试、电池性能测试等。</w:t>
      </w:r>
    </w:p>
    <w:p w14:paraId="23A5058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4</w:t>
      </w:r>
      <w:r>
        <w:rPr>
          <w:rFonts w:ascii="仿宋_GB2312" w:hAnsi="仿宋" w:eastAsia="仿宋_GB2312" w:cs="仿宋_GB2312"/>
          <w:sz w:val="34"/>
          <w:szCs w:val="34"/>
        </w:rPr>
        <w:t>.2</w:t>
      </w:r>
      <w:r>
        <w:rPr>
          <w:rFonts w:hint="eastAsia" w:ascii="仿宋_GB2312" w:hAnsi="仿宋" w:eastAsia="仿宋_GB2312" w:cs="仿宋_GB2312"/>
          <w:sz w:val="34"/>
          <w:szCs w:val="34"/>
        </w:rPr>
        <w:t>对电池的保护功能</w:t>
      </w:r>
    </w:p>
    <w:p w14:paraId="5ECF704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具有电池的温度保护功能</w:t>
      </w:r>
    </w:p>
    <w:p w14:paraId="70CB47F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当环境温度升高时，电池充电电压应下降；当环境温度降低时，电池充电电压应升高。以保持电池内部化学反应的平衡，延长电池的使用寿命。</w:t>
      </w:r>
    </w:p>
    <w:p w14:paraId="3DC4CD9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电池类型和老化的补偿：根据电池品牌、类型和老化程度的不同而选取不同的充电电压,以保证电池使用在最佳状态。</w:t>
      </w:r>
    </w:p>
    <w:p w14:paraId="7A5B858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具有电池的活化保养功能，即UPS应具有定期的电池深放深充功能</w:t>
      </w:r>
    </w:p>
    <w:p w14:paraId="68F755C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具有电池过放保护功能</w:t>
      </w:r>
    </w:p>
    <w:p w14:paraId="757CEB8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具有电池小电流慢放保护功能</w:t>
      </w:r>
    </w:p>
    <w:p w14:paraId="7653920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冷启动：在市电停电时也能启动UPS。</w:t>
      </w:r>
    </w:p>
    <w:p w14:paraId="0F54D7C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软启动：UPS应具有软启动功能且工作平稳。</w:t>
      </w:r>
    </w:p>
    <w:p w14:paraId="78866B7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智能化节能运行，其效率应高达98%以上。</w:t>
      </w:r>
    </w:p>
    <w:p w14:paraId="70B4C57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丰富的通讯功能：有干接点、远程监控、与PC机连网和遥测遥控四种通讯方式。</w:t>
      </w:r>
    </w:p>
    <w:p w14:paraId="6FAB2C7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大屏幕中、英文显示：</w:t>
      </w:r>
    </w:p>
    <w:p w14:paraId="69B498D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UPS主输入电源的电压、电流和频率参数；</w:t>
      </w:r>
    </w:p>
    <w:p w14:paraId="165DA9C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UPS旁路输入电源的电压、电流和频率参数；</w:t>
      </w:r>
    </w:p>
    <w:p w14:paraId="49D638C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UPS输出电源的电压、电流和频率参数；</w:t>
      </w:r>
    </w:p>
    <w:p w14:paraId="3B8D3E36">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电池电压、电流和充放电状态；</w:t>
      </w:r>
    </w:p>
    <w:p w14:paraId="17FC7BE1">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显示各种报警信息；</w:t>
      </w:r>
    </w:p>
    <w:p w14:paraId="0095991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显示各种状态信息；</w:t>
      </w:r>
    </w:p>
    <w:p w14:paraId="1E98BEB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显示各种故障信息并提示操作人员如何处理当前故障。</w:t>
      </w:r>
    </w:p>
    <w:p w14:paraId="4908068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事件日志：能进行1</w:t>
      </w:r>
      <w:r>
        <w:rPr>
          <w:rFonts w:ascii="仿宋_GB2312" w:hAnsi="仿宋" w:eastAsia="仿宋_GB2312" w:cs="仿宋_GB2312"/>
          <w:sz w:val="34"/>
          <w:szCs w:val="34"/>
        </w:rPr>
        <w:t>28</w:t>
      </w:r>
      <w:r>
        <w:rPr>
          <w:rFonts w:hint="eastAsia" w:ascii="仿宋_GB2312" w:hAnsi="仿宋" w:eastAsia="仿宋_GB2312" w:cs="仿宋_GB2312"/>
          <w:sz w:val="34"/>
          <w:szCs w:val="34"/>
        </w:rPr>
        <w:t>条大时间记录运行过程中发生的事件，为故障分析提供了真实的依据。</w:t>
      </w:r>
    </w:p>
    <w:p w14:paraId="0613280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UPS内部参数设置功能和准确的故障自诊断功能</w:t>
      </w:r>
    </w:p>
    <w:p w14:paraId="37AB9E67">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5</w:t>
      </w:r>
      <w:r>
        <w:rPr>
          <w:rFonts w:ascii="楷体_GB2312" w:hAnsi="仿宋" w:eastAsia="楷体_GB2312" w:cs="仿宋_GB2312"/>
          <w:sz w:val="34"/>
          <w:szCs w:val="34"/>
        </w:rPr>
        <w:t>.</w:t>
      </w:r>
      <w:r>
        <w:rPr>
          <w:rFonts w:hint="eastAsia" w:ascii="楷体_GB2312" w:hAnsi="仿宋" w:eastAsia="楷体_GB2312" w:cs="仿宋_GB2312"/>
          <w:sz w:val="34"/>
          <w:szCs w:val="34"/>
        </w:rPr>
        <w:t>UPS主机的技术参数</w:t>
      </w:r>
    </w:p>
    <w:tbl>
      <w:tblPr>
        <w:tblStyle w:val="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44"/>
        <w:gridCol w:w="4592"/>
      </w:tblGrid>
      <w:tr w14:paraId="0A8F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5249E558">
            <w:pPr>
              <w:spacing w:line="600" w:lineRule="exact"/>
              <w:jc w:val="center"/>
              <w:rPr>
                <w:rFonts w:ascii="宋体" w:hAnsi="宋体"/>
                <w:bCs/>
                <w:sz w:val="24"/>
              </w:rPr>
            </w:pPr>
            <w:r>
              <w:rPr>
                <w:rFonts w:hint="eastAsia" w:ascii="宋体" w:hAnsi="宋体"/>
                <w:bCs/>
                <w:sz w:val="24"/>
              </w:rPr>
              <w:t>序号</w:t>
            </w:r>
          </w:p>
        </w:tc>
        <w:tc>
          <w:tcPr>
            <w:tcW w:w="2844" w:type="dxa"/>
            <w:vAlign w:val="center"/>
          </w:tcPr>
          <w:p w14:paraId="54E1CE9F">
            <w:pPr>
              <w:spacing w:line="600" w:lineRule="exact"/>
              <w:jc w:val="center"/>
              <w:rPr>
                <w:rFonts w:ascii="宋体" w:hAnsi="宋体"/>
                <w:bCs/>
                <w:sz w:val="24"/>
              </w:rPr>
            </w:pPr>
            <w:r>
              <w:rPr>
                <w:rFonts w:hint="eastAsia" w:ascii="宋体" w:hAnsi="宋体"/>
                <w:bCs/>
                <w:sz w:val="24"/>
              </w:rPr>
              <w:t>项目</w:t>
            </w:r>
          </w:p>
        </w:tc>
        <w:tc>
          <w:tcPr>
            <w:tcW w:w="4592" w:type="dxa"/>
            <w:vAlign w:val="center"/>
          </w:tcPr>
          <w:p w14:paraId="36297D0A">
            <w:pPr>
              <w:spacing w:line="600" w:lineRule="exact"/>
              <w:jc w:val="center"/>
              <w:rPr>
                <w:rFonts w:ascii="宋体" w:hAnsi="宋体"/>
                <w:bCs/>
                <w:sz w:val="24"/>
              </w:rPr>
            </w:pPr>
            <w:r>
              <w:rPr>
                <w:rFonts w:hint="eastAsia" w:ascii="宋体" w:hAnsi="宋体"/>
                <w:bCs/>
                <w:sz w:val="24"/>
              </w:rPr>
              <w:t>技术指标</w:t>
            </w:r>
          </w:p>
        </w:tc>
      </w:tr>
      <w:tr w14:paraId="6BBF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3820B5D5">
            <w:pPr>
              <w:spacing w:line="600" w:lineRule="exact"/>
              <w:jc w:val="center"/>
              <w:rPr>
                <w:rFonts w:ascii="宋体" w:hAnsi="宋体"/>
                <w:bCs/>
                <w:sz w:val="24"/>
              </w:rPr>
            </w:pPr>
            <w:r>
              <w:rPr>
                <w:rFonts w:hint="eastAsia" w:ascii="宋体" w:hAnsi="宋体"/>
                <w:bCs/>
                <w:sz w:val="24"/>
              </w:rPr>
              <w:t>1</w:t>
            </w:r>
          </w:p>
        </w:tc>
        <w:tc>
          <w:tcPr>
            <w:tcW w:w="2844" w:type="dxa"/>
            <w:vAlign w:val="center"/>
          </w:tcPr>
          <w:p w14:paraId="6DFF48EA">
            <w:pPr>
              <w:spacing w:line="600" w:lineRule="exact"/>
              <w:jc w:val="center"/>
              <w:rPr>
                <w:rFonts w:ascii="宋体" w:hAnsi="宋体"/>
                <w:bCs/>
                <w:sz w:val="24"/>
              </w:rPr>
            </w:pPr>
            <w:r>
              <w:rPr>
                <w:rFonts w:hint="eastAsia" w:ascii="宋体" w:hAnsi="宋体"/>
                <w:bCs/>
                <w:sz w:val="24"/>
              </w:rPr>
              <w:t>输入电源电压</w:t>
            </w:r>
          </w:p>
        </w:tc>
        <w:tc>
          <w:tcPr>
            <w:tcW w:w="4592" w:type="dxa"/>
            <w:vAlign w:val="center"/>
          </w:tcPr>
          <w:p w14:paraId="7FB57CFE">
            <w:pPr>
              <w:spacing w:line="600" w:lineRule="exact"/>
              <w:jc w:val="center"/>
              <w:rPr>
                <w:rFonts w:ascii="宋体" w:hAnsi="宋体"/>
                <w:bCs/>
                <w:sz w:val="24"/>
              </w:rPr>
            </w:pPr>
            <w:r>
              <w:rPr>
                <w:rFonts w:hint="eastAsia" w:ascii="宋体" w:hAnsi="宋体"/>
                <w:bCs/>
                <w:sz w:val="24"/>
              </w:rPr>
              <w:t>380V-15%至380V+20%，三相四线</w:t>
            </w:r>
          </w:p>
        </w:tc>
      </w:tr>
      <w:tr w14:paraId="4832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38A02B2C">
            <w:pPr>
              <w:spacing w:line="600" w:lineRule="exact"/>
              <w:jc w:val="center"/>
              <w:rPr>
                <w:rFonts w:ascii="宋体" w:hAnsi="宋体"/>
                <w:bCs/>
                <w:sz w:val="24"/>
              </w:rPr>
            </w:pPr>
          </w:p>
        </w:tc>
        <w:tc>
          <w:tcPr>
            <w:tcW w:w="2844" w:type="dxa"/>
            <w:vAlign w:val="center"/>
          </w:tcPr>
          <w:p w14:paraId="6EC5EF5E">
            <w:pPr>
              <w:spacing w:line="600" w:lineRule="exact"/>
              <w:jc w:val="center"/>
              <w:rPr>
                <w:rFonts w:ascii="宋体" w:hAnsi="宋体"/>
                <w:bCs/>
                <w:sz w:val="24"/>
              </w:rPr>
            </w:pPr>
            <w:r>
              <w:rPr>
                <w:rFonts w:hint="eastAsia" w:ascii="宋体" w:hAnsi="宋体"/>
                <w:bCs/>
                <w:sz w:val="24"/>
              </w:rPr>
              <w:t>功率因数</w:t>
            </w:r>
          </w:p>
        </w:tc>
        <w:tc>
          <w:tcPr>
            <w:tcW w:w="4592" w:type="dxa"/>
            <w:vAlign w:val="center"/>
          </w:tcPr>
          <w:p w14:paraId="595411B0">
            <w:pPr>
              <w:spacing w:line="600" w:lineRule="exact"/>
              <w:jc w:val="center"/>
              <w:rPr>
                <w:rFonts w:ascii="宋体" w:hAnsi="宋体"/>
                <w:bCs/>
                <w:sz w:val="24"/>
              </w:rPr>
            </w:pPr>
            <w:r>
              <w:rPr>
                <w:rFonts w:hint="eastAsia" w:ascii="宋体" w:hAnsi="宋体"/>
                <w:bCs/>
                <w:sz w:val="24"/>
              </w:rPr>
              <w:t>≥0.92</w:t>
            </w:r>
          </w:p>
        </w:tc>
      </w:tr>
      <w:tr w14:paraId="44BD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1C2884AA">
            <w:pPr>
              <w:spacing w:line="600" w:lineRule="exact"/>
              <w:jc w:val="center"/>
              <w:rPr>
                <w:rFonts w:ascii="宋体" w:hAnsi="宋体"/>
                <w:bCs/>
                <w:sz w:val="24"/>
              </w:rPr>
            </w:pPr>
          </w:p>
        </w:tc>
        <w:tc>
          <w:tcPr>
            <w:tcW w:w="2844" w:type="dxa"/>
            <w:vAlign w:val="center"/>
          </w:tcPr>
          <w:p w14:paraId="62BA4773">
            <w:pPr>
              <w:spacing w:line="600" w:lineRule="exact"/>
              <w:jc w:val="center"/>
              <w:rPr>
                <w:rFonts w:ascii="宋体" w:hAnsi="宋体"/>
                <w:bCs/>
                <w:sz w:val="24"/>
              </w:rPr>
            </w:pPr>
            <w:r>
              <w:rPr>
                <w:rFonts w:hint="eastAsia" w:ascii="宋体" w:hAnsi="宋体"/>
                <w:bCs/>
                <w:sz w:val="24"/>
              </w:rPr>
              <w:t>频率范围</w:t>
            </w:r>
          </w:p>
        </w:tc>
        <w:tc>
          <w:tcPr>
            <w:tcW w:w="4592" w:type="dxa"/>
            <w:vAlign w:val="center"/>
          </w:tcPr>
          <w:p w14:paraId="36891BB5">
            <w:pPr>
              <w:spacing w:line="600" w:lineRule="exact"/>
              <w:jc w:val="center"/>
              <w:rPr>
                <w:rFonts w:ascii="宋体" w:hAnsi="宋体"/>
                <w:bCs/>
                <w:sz w:val="24"/>
              </w:rPr>
            </w:pPr>
            <w:r>
              <w:rPr>
                <w:rFonts w:hint="eastAsia" w:ascii="宋体" w:hAnsi="宋体"/>
                <w:bCs/>
                <w:sz w:val="24"/>
              </w:rPr>
              <w:t>50Hz±10%</w:t>
            </w:r>
          </w:p>
        </w:tc>
      </w:tr>
      <w:tr w14:paraId="2209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69AB6795">
            <w:pPr>
              <w:spacing w:line="600" w:lineRule="exact"/>
              <w:jc w:val="center"/>
              <w:rPr>
                <w:rFonts w:ascii="宋体" w:hAnsi="宋体"/>
                <w:bCs/>
                <w:sz w:val="24"/>
              </w:rPr>
            </w:pPr>
            <w:r>
              <w:rPr>
                <w:rFonts w:hint="eastAsia" w:ascii="宋体" w:hAnsi="宋体"/>
                <w:bCs/>
                <w:sz w:val="24"/>
              </w:rPr>
              <w:t>2</w:t>
            </w:r>
          </w:p>
        </w:tc>
        <w:tc>
          <w:tcPr>
            <w:tcW w:w="2844" w:type="dxa"/>
            <w:vAlign w:val="center"/>
          </w:tcPr>
          <w:p w14:paraId="2E536E81">
            <w:pPr>
              <w:spacing w:line="600" w:lineRule="exact"/>
              <w:jc w:val="center"/>
              <w:rPr>
                <w:rFonts w:ascii="宋体" w:hAnsi="宋体"/>
                <w:bCs/>
                <w:sz w:val="24"/>
              </w:rPr>
            </w:pPr>
            <w:r>
              <w:rPr>
                <w:rFonts w:hint="eastAsia" w:ascii="宋体" w:hAnsi="宋体"/>
                <w:bCs/>
                <w:sz w:val="24"/>
              </w:rPr>
              <w:t>输出静态电压</w:t>
            </w:r>
          </w:p>
        </w:tc>
        <w:tc>
          <w:tcPr>
            <w:tcW w:w="4592" w:type="dxa"/>
            <w:vAlign w:val="center"/>
          </w:tcPr>
          <w:p w14:paraId="1AF3B94B">
            <w:pPr>
              <w:spacing w:line="600" w:lineRule="exact"/>
              <w:ind w:firstLine="480" w:firstLineChars="200"/>
              <w:rPr>
                <w:rFonts w:ascii="宋体" w:hAnsi="宋体"/>
                <w:bCs/>
                <w:sz w:val="24"/>
              </w:rPr>
            </w:pPr>
            <w:r>
              <w:rPr>
                <w:rFonts w:ascii="宋体" w:hAnsi="宋体"/>
                <w:bCs/>
                <w:sz w:val="24"/>
              </w:rPr>
              <w:t>22</w:t>
            </w:r>
            <w:r>
              <w:rPr>
                <w:rFonts w:hint="eastAsia" w:ascii="宋体" w:hAnsi="宋体"/>
                <w:bCs/>
                <w:sz w:val="24"/>
              </w:rPr>
              <w:t>0V±</w:t>
            </w:r>
            <w:r>
              <w:rPr>
                <w:rFonts w:ascii="宋体" w:hAnsi="宋体"/>
                <w:bCs/>
                <w:sz w:val="24"/>
              </w:rPr>
              <w:t>1</w:t>
            </w:r>
            <w:r>
              <w:rPr>
                <w:rFonts w:hint="eastAsia" w:ascii="宋体" w:hAnsi="宋体"/>
                <w:bCs/>
                <w:sz w:val="24"/>
              </w:rPr>
              <w:t>%</w:t>
            </w:r>
          </w:p>
        </w:tc>
      </w:tr>
      <w:tr w14:paraId="02B9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D829CC0">
            <w:pPr>
              <w:pStyle w:val="11"/>
              <w:widowControl w:val="0"/>
              <w:pBdr>
                <w:left w:val="none" w:color="auto" w:sz="0" w:space="0"/>
              </w:pBdr>
              <w:spacing w:before="0" w:beforeAutospacing="0" w:after="0" w:afterAutospacing="0" w:line="600" w:lineRule="exact"/>
              <w:textAlignment w:val="auto"/>
              <w:rPr>
                <w:rFonts w:hint="default" w:cs="Times New Roman"/>
                <w:b w:val="0"/>
                <w:kern w:val="2"/>
              </w:rPr>
            </w:pPr>
            <w:r>
              <w:rPr>
                <w:rFonts w:cs="Times New Roman"/>
                <w:b w:val="0"/>
                <w:kern w:val="2"/>
              </w:rPr>
              <w:t>3</w:t>
            </w:r>
          </w:p>
        </w:tc>
        <w:tc>
          <w:tcPr>
            <w:tcW w:w="2844" w:type="dxa"/>
            <w:vAlign w:val="center"/>
          </w:tcPr>
          <w:p w14:paraId="7AAC32CB">
            <w:pPr>
              <w:spacing w:line="600" w:lineRule="exact"/>
              <w:jc w:val="center"/>
              <w:rPr>
                <w:rFonts w:ascii="宋体" w:hAnsi="宋体"/>
                <w:bCs/>
                <w:sz w:val="24"/>
              </w:rPr>
            </w:pPr>
            <w:r>
              <w:rPr>
                <w:rFonts w:hint="eastAsia" w:ascii="宋体" w:hAnsi="宋体"/>
                <w:bCs/>
                <w:sz w:val="24"/>
              </w:rPr>
              <w:t>动态电压</w:t>
            </w:r>
          </w:p>
        </w:tc>
        <w:tc>
          <w:tcPr>
            <w:tcW w:w="4592" w:type="dxa"/>
            <w:vAlign w:val="center"/>
          </w:tcPr>
          <w:p w14:paraId="023DDFE9">
            <w:pPr>
              <w:spacing w:line="600" w:lineRule="exact"/>
              <w:rPr>
                <w:rFonts w:ascii="宋体" w:hAnsi="宋体"/>
                <w:bCs/>
                <w:sz w:val="24"/>
              </w:rPr>
            </w:pPr>
            <w:r>
              <w:rPr>
                <w:rFonts w:hint="eastAsia" w:ascii="宋体" w:hAnsi="宋体"/>
                <w:bCs/>
                <w:sz w:val="24"/>
              </w:rPr>
              <w:t>由空载到满载，满载到空载，电压变化&lt;±2%，且在20ms内恢复到±1%</w:t>
            </w:r>
          </w:p>
        </w:tc>
      </w:tr>
      <w:tr w14:paraId="528D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53E3F467">
            <w:pPr>
              <w:spacing w:line="600" w:lineRule="exact"/>
              <w:jc w:val="center"/>
              <w:rPr>
                <w:rFonts w:ascii="宋体" w:hAnsi="宋体"/>
                <w:bCs/>
                <w:sz w:val="24"/>
              </w:rPr>
            </w:pPr>
            <w:r>
              <w:rPr>
                <w:rFonts w:hint="eastAsia" w:ascii="宋体" w:hAnsi="宋体"/>
                <w:bCs/>
                <w:sz w:val="24"/>
              </w:rPr>
              <w:t>4</w:t>
            </w:r>
          </w:p>
        </w:tc>
        <w:tc>
          <w:tcPr>
            <w:tcW w:w="2844" w:type="dxa"/>
            <w:vAlign w:val="center"/>
          </w:tcPr>
          <w:p w14:paraId="3734691E">
            <w:pPr>
              <w:spacing w:line="600" w:lineRule="exact"/>
              <w:jc w:val="center"/>
              <w:rPr>
                <w:rFonts w:ascii="宋体" w:hAnsi="宋体"/>
                <w:bCs/>
                <w:sz w:val="24"/>
              </w:rPr>
            </w:pPr>
            <w:r>
              <w:rPr>
                <w:rFonts w:hint="eastAsia" w:ascii="宋体" w:hAnsi="宋体"/>
                <w:bCs/>
                <w:sz w:val="24"/>
              </w:rPr>
              <w:t>频率跟踪范围</w:t>
            </w:r>
          </w:p>
        </w:tc>
        <w:tc>
          <w:tcPr>
            <w:tcW w:w="4592" w:type="dxa"/>
            <w:vAlign w:val="center"/>
          </w:tcPr>
          <w:p w14:paraId="5134C32F">
            <w:pPr>
              <w:spacing w:line="600" w:lineRule="exact"/>
              <w:jc w:val="center"/>
              <w:rPr>
                <w:rFonts w:ascii="宋体" w:hAnsi="宋体"/>
                <w:bCs/>
                <w:sz w:val="24"/>
              </w:rPr>
            </w:pPr>
            <w:r>
              <w:rPr>
                <w:rFonts w:hint="eastAsia" w:ascii="宋体" w:hAnsi="宋体"/>
                <w:bCs/>
                <w:sz w:val="24"/>
              </w:rPr>
              <w:t>0.25～2Hz，步长为0.25Hz</w:t>
            </w:r>
          </w:p>
        </w:tc>
      </w:tr>
      <w:tr w14:paraId="3B46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73E95D60">
            <w:pPr>
              <w:spacing w:line="600" w:lineRule="exact"/>
              <w:jc w:val="center"/>
              <w:rPr>
                <w:rFonts w:ascii="宋体" w:hAnsi="宋体"/>
                <w:bCs/>
                <w:sz w:val="24"/>
              </w:rPr>
            </w:pPr>
          </w:p>
        </w:tc>
        <w:tc>
          <w:tcPr>
            <w:tcW w:w="2844" w:type="dxa"/>
            <w:vAlign w:val="center"/>
          </w:tcPr>
          <w:p w14:paraId="1A0AD598">
            <w:pPr>
              <w:spacing w:line="600" w:lineRule="exact"/>
              <w:jc w:val="center"/>
              <w:rPr>
                <w:rFonts w:ascii="宋体" w:hAnsi="宋体"/>
                <w:bCs/>
                <w:sz w:val="24"/>
              </w:rPr>
            </w:pPr>
            <w:r>
              <w:rPr>
                <w:rFonts w:hint="eastAsia" w:ascii="宋体" w:hAnsi="宋体"/>
                <w:bCs/>
                <w:sz w:val="24"/>
              </w:rPr>
              <w:t>频率跟踪速度</w:t>
            </w:r>
          </w:p>
        </w:tc>
        <w:tc>
          <w:tcPr>
            <w:tcW w:w="4592" w:type="dxa"/>
            <w:vAlign w:val="center"/>
          </w:tcPr>
          <w:p w14:paraId="354B8760">
            <w:pPr>
              <w:spacing w:line="600" w:lineRule="exact"/>
              <w:jc w:val="center"/>
              <w:rPr>
                <w:rFonts w:ascii="宋体" w:hAnsi="宋体"/>
                <w:bCs/>
                <w:sz w:val="24"/>
              </w:rPr>
            </w:pPr>
            <w:r>
              <w:rPr>
                <w:rFonts w:hint="eastAsia" w:ascii="宋体" w:hAnsi="宋体"/>
                <w:bCs/>
                <w:sz w:val="24"/>
              </w:rPr>
              <w:t>1Hz/s</w:t>
            </w:r>
          </w:p>
        </w:tc>
      </w:tr>
      <w:tr w14:paraId="3B18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429C15D9">
            <w:pPr>
              <w:spacing w:line="600" w:lineRule="exact"/>
              <w:jc w:val="center"/>
              <w:rPr>
                <w:rFonts w:ascii="宋体" w:hAnsi="宋体"/>
                <w:bCs/>
                <w:sz w:val="24"/>
              </w:rPr>
            </w:pPr>
          </w:p>
        </w:tc>
        <w:tc>
          <w:tcPr>
            <w:tcW w:w="2844" w:type="dxa"/>
            <w:vAlign w:val="center"/>
          </w:tcPr>
          <w:p w14:paraId="3111EFC1">
            <w:pPr>
              <w:spacing w:line="600" w:lineRule="exact"/>
              <w:jc w:val="center"/>
              <w:rPr>
                <w:rFonts w:ascii="宋体" w:hAnsi="宋体"/>
                <w:bCs/>
                <w:sz w:val="24"/>
              </w:rPr>
            </w:pPr>
            <w:r>
              <w:rPr>
                <w:rFonts w:hint="eastAsia" w:ascii="宋体" w:hAnsi="宋体"/>
                <w:bCs/>
                <w:sz w:val="24"/>
              </w:rPr>
              <w:t>晶振稳定度</w:t>
            </w:r>
          </w:p>
        </w:tc>
        <w:tc>
          <w:tcPr>
            <w:tcW w:w="4592" w:type="dxa"/>
            <w:vAlign w:val="center"/>
          </w:tcPr>
          <w:p w14:paraId="787E7F7E">
            <w:pPr>
              <w:spacing w:line="600" w:lineRule="exact"/>
              <w:jc w:val="center"/>
              <w:rPr>
                <w:rFonts w:ascii="宋体" w:hAnsi="宋体"/>
                <w:bCs/>
                <w:sz w:val="24"/>
              </w:rPr>
            </w:pPr>
            <w:r>
              <w:rPr>
                <w:rFonts w:hint="eastAsia" w:ascii="宋体" w:hAnsi="宋体"/>
                <w:bCs/>
                <w:sz w:val="24"/>
              </w:rPr>
              <w:t>50Hz±0.05Hz</w:t>
            </w:r>
          </w:p>
        </w:tc>
      </w:tr>
      <w:tr w14:paraId="250A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restart"/>
            <w:vAlign w:val="center"/>
          </w:tcPr>
          <w:p w14:paraId="74FB65FA">
            <w:pPr>
              <w:spacing w:line="600" w:lineRule="exact"/>
              <w:jc w:val="center"/>
              <w:rPr>
                <w:rFonts w:ascii="宋体" w:hAnsi="宋体"/>
                <w:bCs/>
                <w:sz w:val="24"/>
              </w:rPr>
            </w:pPr>
            <w:r>
              <w:rPr>
                <w:rFonts w:hint="eastAsia" w:ascii="宋体" w:hAnsi="宋体"/>
                <w:bCs/>
                <w:sz w:val="24"/>
              </w:rPr>
              <w:t>5</w:t>
            </w:r>
          </w:p>
        </w:tc>
        <w:tc>
          <w:tcPr>
            <w:tcW w:w="2844" w:type="dxa"/>
            <w:vMerge w:val="restart"/>
            <w:vAlign w:val="center"/>
          </w:tcPr>
          <w:p w14:paraId="10283EC0">
            <w:pPr>
              <w:spacing w:line="600" w:lineRule="exact"/>
              <w:jc w:val="center"/>
              <w:rPr>
                <w:rFonts w:ascii="宋体" w:hAnsi="宋体"/>
                <w:bCs/>
                <w:sz w:val="24"/>
              </w:rPr>
            </w:pPr>
            <w:r>
              <w:rPr>
                <w:rFonts w:hint="eastAsia" w:ascii="宋体" w:hAnsi="宋体"/>
                <w:bCs/>
                <w:sz w:val="24"/>
              </w:rPr>
              <w:t>线电压总谐波失真度</w:t>
            </w:r>
          </w:p>
        </w:tc>
        <w:tc>
          <w:tcPr>
            <w:tcW w:w="4592" w:type="dxa"/>
            <w:vAlign w:val="center"/>
          </w:tcPr>
          <w:p w14:paraId="682ACD87">
            <w:pPr>
              <w:spacing w:line="600" w:lineRule="exact"/>
              <w:jc w:val="center"/>
              <w:rPr>
                <w:rFonts w:ascii="宋体" w:hAnsi="宋体"/>
                <w:bCs/>
                <w:sz w:val="24"/>
              </w:rPr>
            </w:pPr>
            <w:r>
              <w:rPr>
                <w:rFonts w:hint="eastAsia" w:ascii="宋体" w:hAnsi="宋体"/>
                <w:bCs/>
                <w:sz w:val="24"/>
              </w:rPr>
              <w:t>＜2%(带100%线性负载)</w:t>
            </w:r>
          </w:p>
        </w:tc>
      </w:tr>
      <w:tr w14:paraId="6CAD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Merge w:val="continue"/>
            <w:vAlign w:val="center"/>
          </w:tcPr>
          <w:p w14:paraId="2EC935AC">
            <w:pPr>
              <w:spacing w:line="600" w:lineRule="exact"/>
              <w:jc w:val="center"/>
              <w:rPr>
                <w:rFonts w:ascii="宋体" w:hAnsi="宋体"/>
                <w:bCs/>
                <w:sz w:val="24"/>
              </w:rPr>
            </w:pPr>
          </w:p>
        </w:tc>
        <w:tc>
          <w:tcPr>
            <w:tcW w:w="2844" w:type="dxa"/>
            <w:vMerge w:val="continue"/>
            <w:vAlign w:val="center"/>
          </w:tcPr>
          <w:p w14:paraId="100E324C">
            <w:pPr>
              <w:spacing w:line="600" w:lineRule="exact"/>
              <w:jc w:val="center"/>
              <w:rPr>
                <w:rFonts w:ascii="宋体" w:hAnsi="宋体"/>
                <w:bCs/>
                <w:sz w:val="24"/>
              </w:rPr>
            </w:pPr>
          </w:p>
        </w:tc>
        <w:tc>
          <w:tcPr>
            <w:tcW w:w="4592" w:type="dxa"/>
            <w:vAlign w:val="center"/>
          </w:tcPr>
          <w:p w14:paraId="1C06A0F2">
            <w:pPr>
              <w:spacing w:line="600" w:lineRule="exact"/>
              <w:jc w:val="center"/>
              <w:rPr>
                <w:rFonts w:ascii="宋体" w:hAnsi="宋体"/>
                <w:bCs/>
                <w:sz w:val="24"/>
              </w:rPr>
            </w:pPr>
            <w:r>
              <w:rPr>
                <w:rFonts w:hint="eastAsia" w:ascii="宋体" w:hAnsi="宋体"/>
                <w:bCs/>
                <w:sz w:val="24"/>
              </w:rPr>
              <w:t>＜3%(带100%非线性负载)</w:t>
            </w:r>
          </w:p>
        </w:tc>
      </w:tr>
      <w:tr w14:paraId="1C9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3AED175C">
            <w:pPr>
              <w:spacing w:line="600" w:lineRule="exact"/>
              <w:jc w:val="center"/>
              <w:rPr>
                <w:rFonts w:ascii="宋体" w:hAnsi="宋体"/>
                <w:bCs/>
                <w:sz w:val="24"/>
              </w:rPr>
            </w:pPr>
            <w:r>
              <w:rPr>
                <w:rFonts w:hint="eastAsia" w:ascii="宋体" w:hAnsi="宋体"/>
                <w:bCs/>
                <w:sz w:val="24"/>
              </w:rPr>
              <w:t>6</w:t>
            </w:r>
          </w:p>
        </w:tc>
        <w:tc>
          <w:tcPr>
            <w:tcW w:w="2844" w:type="dxa"/>
            <w:vAlign w:val="center"/>
          </w:tcPr>
          <w:p w14:paraId="6F4338F8">
            <w:pPr>
              <w:spacing w:line="600" w:lineRule="exact"/>
              <w:jc w:val="center"/>
              <w:rPr>
                <w:rFonts w:ascii="宋体" w:hAnsi="宋体"/>
                <w:bCs/>
                <w:sz w:val="24"/>
              </w:rPr>
            </w:pPr>
            <w:r>
              <w:rPr>
                <w:rFonts w:hint="eastAsia" w:ascii="宋体" w:hAnsi="宋体"/>
                <w:bCs/>
                <w:sz w:val="24"/>
              </w:rPr>
              <w:t>峰值因数</w:t>
            </w:r>
          </w:p>
        </w:tc>
        <w:tc>
          <w:tcPr>
            <w:tcW w:w="4592" w:type="dxa"/>
            <w:vAlign w:val="center"/>
          </w:tcPr>
          <w:p w14:paraId="79E2DB30">
            <w:pPr>
              <w:spacing w:line="600" w:lineRule="exact"/>
              <w:jc w:val="center"/>
              <w:rPr>
                <w:rFonts w:ascii="宋体" w:hAnsi="宋体"/>
                <w:bCs/>
                <w:sz w:val="24"/>
              </w:rPr>
            </w:pPr>
            <w:r>
              <w:rPr>
                <w:rFonts w:hint="eastAsia" w:ascii="宋体" w:hAnsi="宋体"/>
                <w:bCs/>
                <w:sz w:val="24"/>
              </w:rPr>
              <w:t>3∶1</w:t>
            </w:r>
          </w:p>
        </w:tc>
      </w:tr>
      <w:tr w14:paraId="5771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3B485EF6">
            <w:pPr>
              <w:spacing w:line="600" w:lineRule="exact"/>
              <w:jc w:val="center"/>
              <w:rPr>
                <w:rFonts w:ascii="宋体" w:hAnsi="宋体"/>
                <w:bCs/>
                <w:sz w:val="24"/>
              </w:rPr>
            </w:pPr>
            <w:r>
              <w:rPr>
                <w:rFonts w:hint="eastAsia" w:ascii="宋体" w:hAnsi="宋体"/>
                <w:bCs/>
                <w:sz w:val="24"/>
              </w:rPr>
              <w:t>7</w:t>
            </w:r>
          </w:p>
        </w:tc>
        <w:tc>
          <w:tcPr>
            <w:tcW w:w="2844" w:type="dxa"/>
            <w:vAlign w:val="center"/>
          </w:tcPr>
          <w:p w14:paraId="30B1AF19">
            <w:pPr>
              <w:spacing w:line="600" w:lineRule="exact"/>
              <w:jc w:val="center"/>
              <w:rPr>
                <w:rFonts w:ascii="宋体" w:hAnsi="宋体"/>
                <w:bCs/>
                <w:sz w:val="24"/>
              </w:rPr>
            </w:pPr>
            <w:r>
              <w:rPr>
                <w:rFonts w:hint="eastAsia" w:ascii="宋体" w:hAnsi="宋体"/>
                <w:bCs/>
                <w:sz w:val="24"/>
              </w:rPr>
              <w:t>过载能力：</w:t>
            </w:r>
          </w:p>
        </w:tc>
        <w:tc>
          <w:tcPr>
            <w:tcW w:w="4592" w:type="dxa"/>
            <w:vAlign w:val="center"/>
          </w:tcPr>
          <w:p w14:paraId="0E786649">
            <w:pPr>
              <w:spacing w:line="600" w:lineRule="exact"/>
              <w:jc w:val="center"/>
              <w:rPr>
                <w:rFonts w:ascii="宋体" w:hAnsi="宋体"/>
                <w:bCs/>
                <w:sz w:val="24"/>
              </w:rPr>
            </w:pPr>
            <w:r>
              <w:rPr>
                <w:rFonts w:hint="eastAsia" w:ascii="宋体" w:hAnsi="宋体"/>
                <w:bCs/>
                <w:sz w:val="24"/>
              </w:rPr>
              <w:t>125%  10min</w:t>
            </w:r>
          </w:p>
          <w:p w14:paraId="3FAD21D1">
            <w:pPr>
              <w:spacing w:line="600" w:lineRule="exact"/>
              <w:jc w:val="center"/>
              <w:rPr>
                <w:rFonts w:ascii="宋体" w:hAnsi="宋体"/>
                <w:bCs/>
                <w:sz w:val="24"/>
              </w:rPr>
            </w:pPr>
            <w:r>
              <w:rPr>
                <w:rFonts w:hint="eastAsia" w:ascii="宋体" w:hAnsi="宋体"/>
                <w:bCs/>
                <w:sz w:val="24"/>
              </w:rPr>
              <w:t>150%   1min</w:t>
            </w:r>
          </w:p>
        </w:tc>
      </w:tr>
      <w:tr w14:paraId="5A3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5CCD96B0">
            <w:pPr>
              <w:spacing w:line="600" w:lineRule="exact"/>
              <w:jc w:val="center"/>
              <w:rPr>
                <w:rFonts w:ascii="宋体" w:hAnsi="宋体"/>
                <w:bCs/>
                <w:sz w:val="24"/>
              </w:rPr>
            </w:pPr>
            <w:r>
              <w:rPr>
                <w:rFonts w:hint="eastAsia" w:ascii="宋体" w:hAnsi="宋体"/>
                <w:bCs/>
                <w:sz w:val="24"/>
              </w:rPr>
              <w:t>8</w:t>
            </w:r>
          </w:p>
        </w:tc>
        <w:tc>
          <w:tcPr>
            <w:tcW w:w="2844" w:type="dxa"/>
            <w:vAlign w:val="center"/>
          </w:tcPr>
          <w:p w14:paraId="3ED6AA51">
            <w:pPr>
              <w:spacing w:line="600" w:lineRule="exact"/>
              <w:jc w:val="center"/>
              <w:rPr>
                <w:rFonts w:ascii="宋体" w:hAnsi="宋体"/>
                <w:bCs/>
                <w:sz w:val="24"/>
              </w:rPr>
            </w:pPr>
            <w:r>
              <w:rPr>
                <w:rFonts w:hint="eastAsia" w:ascii="宋体" w:hAnsi="宋体"/>
                <w:bCs/>
                <w:sz w:val="24"/>
              </w:rPr>
              <w:t>效率</w:t>
            </w:r>
          </w:p>
        </w:tc>
        <w:tc>
          <w:tcPr>
            <w:tcW w:w="4592" w:type="dxa"/>
            <w:vAlign w:val="center"/>
          </w:tcPr>
          <w:p w14:paraId="1F5CFC2E">
            <w:pPr>
              <w:spacing w:line="600" w:lineRule="exact"/>
              <w:jc w:val="center"/>
              <w:rPr>
                <w:rFonts w:ascii="宋体" w:hAnsi="宋体"/>
                <w:bCs/>
                <w:sz w:val="24"/>
              </w:rPr>
            </w:pPr>
            <w:r>
              <w:rPr>
                <w:rFonts w:hint="eastAsia" w:ascii="宋体" w:hAnsi="宋体"/>
                <w:bCs/>
                <w:sz w:val="24"/>
              </w:rPr>
              <w:t>＞92% （在线模式）</w:t>
            </w:r>
          </w:p>
          <w:p w14:paraId="03886677">
            <w:pPr>
              <w:spacing w:line="600" w:lineRule="exact"/>
              <w:jc w:val="center"/>
              <w:rPr>
                <w:rFonts w:ascii="宋体" w:hAnsi="宋体"/>
                <w:bCs/>
                <w:color w:val="FF0000"/>
                <w:sz w:val="24"/>
              </w:rPr>
            </w:pPr>
            <w:r>
              <w:rPr>
                <w:rFonts w:hint="eastAsia" w:ascii="宋体" w:hAnsi="宋体"/>
                <w:bCs/>
                <w:sz w:val="24"/>
              </w:rPr>
              <w:t>＞98% （经济模式） 　</w:t>
            </w:r>
            <w:r>
              <w:rPr>
                <w:rFonts w:hint="eastAsia" w:ascii="宋体" w:hAnsi="宋体"/>
                <w:bCs/>
                <w:color w:val="FF0000"/>
                <w:sz w:val="24"/>
              </w:rPr>
              <w:t xml:space="preserve">                                                                                                                                                                                                                                                                                           </w:t>
            </w:r>
          </w:p>
        </w:tc>
      </w:tr>
      <w:tr w14:paraId="0C58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14:paraId="59B08312">
            <w:pPr>
              <w:spacing w:line="600" w:lineRule="exact"/>
              <w:jc w:val="center"/>
              <w:rPr>
                <w:rFonts w:ascii="宋体" w:hAnsi="宋体"/>
                <w:bCs/>
                <w:sz w:val="24"/>
              </w:rPr>
            </w:pPr>
            <w:r>
              <w:rPr>
                <w:rFonts w:hint="eastAsia" w:ascii="宋体" w:hAnsi="宋体"/>
                <w:bCs/>
                <w:sz w:val="24"/>
              </w:rPr>
              <w:t>9</w:t>
            </w:r>
          </w:p>
        </w:tc>
        <w:tc>
          <w:tcPr>
            <w:tcW w:w="2844" w:type="dxa"/>
            <w:vAlign w:val="center"/>
          </w:tcPr>
          <w:p w14:paraId="19F631E1">
            <w:pPr>
              <w:spacing w:line="600" w:lineRule="exact"/>
              <w:jc w:val="center"/>
              <w:rPr>
                <w:rFonts w:ascii="宋体" w:hAnsi="宋体"/>
                <w:bCs/>
                <w:sz w:val="24"/>
              </w:rPr>
            </w:pPr>
            <w:r>
              <w:rPr>
                <w:rFonts w:hint="eastAsia" w:ascii="宋体" w:hAnsi="宋体"/>
                <w:bCs/>
                <w:sz w:val="24"/>
              </w:rPr>
              <w:t>噪音：</w:t>
            </w:r>
          </w:p>
        </w:tc>
        <w:tc>
          <w:tcPr>
            <w:tcW w:w="4592" w:type="dxa"/>
            <w:vAlign w:val="center"/>
          </w:tcPr>
          <w:p w14:paraId="65476DF7">
            <w:pPr>
              <w:spacing w:line="600" w:lineRule="exact"/>
              <w:jc w:val="center"/>
              <w:rPr>
                <w:rFonts w:ascii="宋体" w:hAnsi="宋体"/>
                <w:bCs/>
                <w:color w:val="FF0000"/>
                <w:sz w:val="24"/>
              </w:rPr>
            </w:pPr>
            <w:r>
              <w:rPr>
                <w:rFonts w:hint="eastAsia" w:ascii="宋体" w:hAnsi="宋体"/>
                <w:bCs/>
                <w:sz w:val="24"/>
              </w:rPr>
              <w:t>&lt;55dB</w:t>
            </w:r>
          </w:p>
        </w:tc>
      </w:tr>
      <w:tr w14:paraId="5D3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3818580">
            <w:pPr>
              <w:spacing w:line="600" w:lineRule="exact"/>
              <w:jc w:val="center"/>
              <w:rPr>
                <w:rFonts w:ascii="宋体" w:hAnsi="宋体"/>
                <w:bCs/>
                <w:sz w:val="24"/>
              </w:rPr>
            </w:pPr>
            <w:r>
              <w:rPr>
                <w:rFonts w:hint="eastAsia" w:ascii="宋体" w:hAnsi="宋体"/>
                <w:bCs/>
                <w:sz w:val="24"/>
              </w:rPr>
              <w:t>10</w:t>
            </w:r>
          </w:p>
        </w:tc>
        <w:tc>
          <w:tcPr>
            <w:tcW w:w="2844" w:type="dxa"/>
            <w:vAlign w:val="center"/>
          </w:tcPr>
          <w:p w14:paraId="0F3D3F87">
            <w:pPr>
              <w:spacing w:line="600" w:lineRule="exact"/>
              <w:jc w:val="center"/>
              <w:rPr>
                <w:rFonts w:ascii="宋体" w:hAnsi="宋体"/>
                <w:bCs/>
                <w:sz w:val="24"/>
              </w:rPr>
            </w:pPr>
            <w:r>
              <w:rPr>
                <w:rFonts w:hint="eastAsia" w:ascii="宋体" w:hAnsi="宋体"/>
                <w:bCs/>
                <w:sz w:val="24"/>
              </w:rPr>
              <w:t>平均无故障时间MTBF：</w:t>
            </w:r>
          </w:p>
        </w:tc>
        <w:tc>
          <w:tcPr>
            <w:tcW w:w="4592" w:type="dxa"/>
            <w:vAlign w:val="center"/>
          </w:tcPr>
          <w:p w14:paraId="79C5655B">
            <w:pPr>
              <w:spacing w:line="600" w:lineRule="exact"/>
              <w:jc w:val="center"/>
              <w:rPr>
                <w:rFonts w:ascii="宋体" w:hAnsi="宋体"/>
                <w:bCs/>
                <w:sz w:val="24"/>
              </w:rPr>
            </w:pPr>
            <w:r>
              <w:rPr>
                <w:rFonts w:hint="eastAsia" w:ascii="宋体" w:hAnsi="宋体"/>
                <w:bCs/>
                <w:sz w:val="24"/>
              </w:rPr>
              <w:t>＞20万小时</w:t>
            </w:r>
          </w:p>
        </w:tc>
      </w:tr>
      <w:tr w14:paraId="320B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361E9685">
            <w:pPr>
              <w:spacing w:line="600" w:lineRule="exact"/>
              <w:jc w:val="center"/>
              <w:rPr>
                <w:rFonts w:ascii="宋体" w:hAnsi="宋体"/>
                <w:bCs/>
                <w:sz w:val="24"/>
              </w:rPr>
            </w:pPr>
            <w:r>
              <w:rPr>
                <w:rFonts w:hint="eastAsia" w:ascii="宋体" w:hAnsi="宋体"/>
                <w:bCs/>
                <w:sz w:val="24"/>
              </w:rPr>
              <w:t>11</w:t>
            </w:r>
          </w:p>
        </w:tc>
        <w:tc>
          <w:tcPr>
            <w:tcW w:w="2844" w:type="dxa"/>
            <w:vAlign w:val="center"/>
          </w:tcPr>
          <w:p w14:paraId="5E882AE6">
            <w:pPr>
              <w:spacing w:line="600" w:lineRule="exact"/>
              <w:jc w:val="center"/>
              <w:rPr>
                <w:rFonts w:ascii="宋体" w:hAnsi="宋体"/>
                <w:bCs/>
                <w:sz w:val="24"/>
              </w:rPr>
            </w:pPr>
            <w:r>
              <w:rPr>
                <w:rFonts w:hint="eastAsia" w:ascii="宋体" w:hAnsi="宋体"/>
                <w:bCs/>
                <w:sz w:val="24"/>
              </w:rPr>
              <w:t>风扇配置</w:t>
            </w:r>
          </w:p>
        </w:tc>
        <w:tc>
          <w:tcPr>
            <w:tcW w:w="4592" w:type="dxa"/>
            <w:vAlign w:val="center"/>
          </w:tcPr>
          <w:p w14:paraId="2B24EDCC">
            <w:pPr>
              <w:spacing w:line="600" w:lineRule="exact"/>
              <w:jc w:val="center"/>
              <w:rPr>
                <w:rFonts w:ascii="宋体" w:hAnsi="宋体"/>
                <w:bCs/>
                <w:sz w:val="24"/>
              </w:rPr>
            </w:pPr>
            <w:r>
              <w:rPr>
                <w:rFonts w:hint="eastAsia" w:ascii="宋体" w:hAnsi="宋体"/>
                <w:bCs/>
                <w:sz w:val="24"/>
              </w:rPr>
              <w:t>50%的冗余配置</w:t>
            </w:r>
          </w:p>
        </w:tc>
      </w:tr>
      <w:tr w14:paraId="6C08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1" w:type="dxa"/>
            <w:vAlign w:val="center"/>
          </w:tcPr>
          <w:p w14:paraId="47B5618A">
            <w:pPr>
              <w:spacing w:line="600" w:lineRule="exact"/>
              <w:jc w:val="center"/>
              <w:rPr>
                <w:rFonts w:ascii="宋体" w:hAnsi="宋体"/>
                <w:bCs/>
                <w:sz w:val="24"/>
              </w:rPr>
            </w:pPr>
            <w:r>
              <w:rPr>
                <w:rFonts w:hint="eastAsia" w:ascii="宋体" w:hAnsi="宋体"/>
                <w:bCs/>
                <w:sz w:val="24"/>
              </w:rPr>
              <w:t>12</w:t>
            </w:r>
          </w:p>
        </w:tc>
        <w:tc>
          <w:tcPr>
            <w:tcW w:w="2844" w:type="dxa"/>
            <w:vAlign w:val="center"/>
          </w:tcPr>
          <w:p w14:paraId="0B47C334">
            <w:pPr>
              <w:spacing w:line="600" w:lineRule="exact"/>
              <w:jc w:val="center"/>
              <w:rPr>
                <w:rFonts w:ascii="宋体" w:hAnsi="宋体"/>
                <w:bCs/>
                <w:sz w:val="24"/>
              </w:rPr>
            </w:pPr>
            <w:r>
              <w:rPr>
                <w:rFonts w:hint="eastAsia" w:ascii="宋体" w:hAnsi="宋体"/>
                <w:bCs/>
                <w:sz w:val="24"/>
              </w:rPr>
              <w:t>旁路</w:t>
            </w:r>
          </w:p>
        </w:tc>
        <w:tc>
          <w:tcPr>
            <w:tcW w:w="4592" w:type="dxa"/>
            <w:vAlign w:val="center"/>
          </w:tcPr>
          <w:p w14:paraId="5AF4F1DF">
            <w:pPr>
              <w:pStyle w:val="11"/>
              <w:widowControl w:val="0"/>
              <w:pBdr>
                <w:left w:val="none" w:color="auto" w:sz="0" w:space="0"/>
              </w:pBdr>
              <w:spacing w:before="0" w:beforeAutospacing="0" w:after="0" w:afterAutospacing="0" w:line="600" w:lineRule="exact"/>
              <w:textAlignment w:val="auto"/>
              <w:rPr>
                <w:rFonts w:hint="default" w:cs="Times New Roman"/>
                <w:b w:val="0"/>
                <w:kern w:val="2"/>
              </w:rPr>
            </w:pPr>
            <w:r>
              <w:rPr>
                <w:rFonts w:cs="Times New Roman"/>
                <w:b w:val="0"/>
                <w:kern w:val="2"/>
              </w:rPr>
              <w:t>具有自动静态旁路和手动检修旁路</w:t>
            </w:r>
          </w:p>
        </w:tc>
      </w:tr>
    </w:tbl>
    <w:p w14:paraId="2F4CD06D">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6</w:t>
      </w:r>
      <w:r>
        <w:rPr>
          <w:rFonts w:ascii="楷体_GB2312" w:hAnsi="仿宋" w:eastAsia="楷体_GB2312" w:cs="仿宋_GB2312"/>
          <w:sz w:val="34"/>
          <w:szCs w:val="34"/>
        </w:rPr>
        <w:t>.</w:t>
      </w:r>
      <w:r>
        <w:rPr>
          <w:rFonts w:hint="eastAsia" w:ascii="楷体_GB2312" w:hAnsi="仿宋" w:eastAsia="楷体_GB2312" w:cs="仿宋_GB2312"/>
          <w:sz w:val="34"/>
          <w:szCs w:val="34"/>
        </w:rPr>
        <w:t>与UPS配套的蓄电池的技术要求</w:t>
      </w:r>
    </w:p>
    <w:p w14:paraId="35946B25">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电池品牌要求：德克、阳光、荷贝克，投标时须提供原厂证明材料。</w:t>
      </w:r>
    </w:p>
    <w:p w14:paraId="1E3B46B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蓄电池需编号，正极线缆颜色赭色，负极蓝色。</w:t>
      </w:r>
    </w:p>
    <w:p w14:paraId="642861F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型式：固定型阀控密封式胶体铅酸蓄电池</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免维护保养。</w:t>
      </w:r>
    </w:p>
    <w:p w14:paraId="0A36068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后备时间：60min（在额定负载功率情况下的放电时间）</w:t>
      </w:r>
    </w:p>
    <w:p w14:paraId="071C4C08">
      <w:pPr>
        <w:spacing w:line="600" w:lineRule="exact"/>
        <w:ind w:firstLine="680" w:firstLineChars="200"/>
        <w:rPr>
          <w:rFonts w:ascii="仿宋_GB2312" w:hAnsi="仿宋" w:eastAsia="仿宋_GB2312" w:cs="仿宋_GB2312"/>
          <w:sz w:val="34"/>
          <w:szCs w:val="34"/>
        </w:rPr>
      </w:pPr>
      <w:r>
        <w:rPr>
          <w:rFonts w:ascii="仿宋_GB2312" w:hAnsi="仿宋" w:eastAsia="仿宋_GB2312" w:cs="仿宋_GB2312"/>
          <w:sz w:val="34"/>
          <w:szCs w:val="34"/>
        </w:rPr>
        <w:t>UPS</w:t>
      </w:r>
      <w:r>
        <w:rPr>
          <w:rFonts w:hint="eastAsia" w:ascii="仿宋_GB2312" w:hAnsi="仿宋" w:eastAsia="仿宋_GB2312" w:cs="仿宋_GB2312"/>
          <w:sz w:val="34"/>
          <w:szCs w:val="34"/>
        </w:rPr>
        <w:t>配</w:t>
      </w:r>
      <w:r>
        <w:rPr>
          <w:rFonts w:ascii="仿宋_GB2312" w:hAnsi="仿宋" w:eastAsia="仿宋_GB2312" w:cs="仿宋_GB2312"/>
          <w:sz w:val="34"/>
          <w:szCs w:val="34"/>
        </w:rPr>
        <w:t>智能电池管理</w:t>
      </w:r>
      <w:r>
        <w:rPr>
          <w:rFonts w:hint="eastAsia" w:ascii="仿宋_GB2312" w:hAnsi="仿宋" w:eastAsia="仿宋_GB2312" w:cs="仿宋_GB2312"/>
          <w:sz w:val="34"/>
          <w:szCs w:val="34"/>
        </w:rPr>
        <w:t>系统</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采用珠海派诺，南京哈伯，江苏VTR</w:t>
      </w:r>
      <w:r>
        <w:rPr>
          <w:rFonts w:ascii="仿宋_GB2312" w:hAnsi="仿宋" w:eastAsia="仿宋_GB2312" w:cs="仿宋_GB2312"/>
          <w:sz w:val="34"/>
          <w:szCs w:val="34"/>
        </w:rPr>
        <w:t>自动在线</w:t>
      </w:r>
      <w:r>
        <w:rPr>
          <w:rFonts w:hint="eastAsia" w:ascii="仿宋_GB2312" w:hAnsi="仿宋" w:eastAsia="仿宋_GB2312" w:cs="仿宋_GB2312"/>
          <w:sz w:val="34"/>
          <w:szCs w:val="34"/>
        </w:rPr>
        <w:t>监控系统</w:t>
      </w:r>
      <w:r>
        <w:rPr>
          <w:rFonts w:ascii="仿宋_GB2312" w:hAnsi="仿宋" w:eastAsia="仿宋_GB2312" w:cs="仿宋_GB2312"/>
          <w:sz w:val="34"/>
          <w:szCs w:val="34"/>
        </w:rPr>
        <w:t>，</w:t>
      </w:r>
      <w:r>
        <w:rPr>
          <w:rFonts w:hint="eastAsia" w:ascii="仿宋_GB2312" w:hAnsi="仿宋" w:eastAsia="仿宋_GB2312" w:cs="仿宋_GB2312"/>
          <w:sz w:val="34"/>
          <w:szCs w:val="34"/>
        </w:rPr>
        <w:t>自动判断UPS蓄电池的在线状态，状态判断包括但不限于充电、放电、浮充等；能显示每节电池内阻、电压，具备通讯功能，能上传到招标方后台监控系统。</w:t>
      </w:r>
    </w:p>
    <w:p w14:paraId="18408CE8">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能记录每节电池的数据：浮充电压，放电电压，内阻值，充放电电流以及电池温度；</w:t>
      </w:r>
    </w:p>
    <w:p w14:paraId="3FA79A6D">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能图像化显示每节电池的各项参数历史曲线、单组所有电池的充、放电曲线图，并以此判断其使用状态与分析；</w:t>
      </w:r>
    </w:p>
    <w:p w14:paraId="7AF3EAB2">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自动记录所有蓄电池组、蓄电池在每一次充、放电时的电压曲线、电流曲线和温度曲线，以及时间记录；</w:t>
      </w:r>
    </w:p>
    <w:p w14:paraId="2D8E4F74">
      <w:pPr>
        <w:spacing w:line="600" w:lineRule="exact"/>
        <w:ind w:firstLine="680" w:firstLineChars="200"/>
        <w:rPr>
          <w:rFonts w:ascii="仿宋_GB2312" w:hAnsi="仿宋" w:eastAsia="仿宋_GB2312" w:cs="仿宋_GB2312"/>
          <w:sz w:val="34"/>
          <w:szCs w:val="34"/>
        </w:rPr>
      </w:pPr>
      <w:r>
        <w:rPr>
          <w:rFonts w:ascii="仿宋_GB2312" w:hAnsi="仿宋" w:eastAsia="仿宋_GB2312" w:cs="仿宋_GB2312"/>
          <w:sz w:val="34"/>
          <w:szCs w:val="34"/>
        </w:rPr>
        <w:t>第三方接口协议是</w:t>
      </w:r>
      <w:r>
        <w:rPr>
          <w:rFonts w:hint="eastAsia" w:ascii="仿宋_GB2312" w:hAnsi="仿宋" w:eastAsia="仿宋_GB2312" w:cs="仿宋_GB2312"/>
          <w:sz w:val="34"/>
          <w:szCs w:val="34"/>
        </w:rPr>
        <w:t>Modbus</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TCP和Webservice协议接口；</w:t>
      </w:r>
    </w:p>
    <w:p w14:paraId="3099BD3E">
      <w:pPr>
        <w:spacing w:line="600" w:lineRule="exact"/>
        <w:ind w:firstLine="683" w:firstLineChars="200"/>
        <w:rPr>
          <w:rFonts w:ascii="仿宋_GB2312" w:hAnsi="仿宋" w:eastAsia="仿宋_GB2312" w:cs="仿宋_GB2312"/>
          <w:b/>
          <w:bCs/>
          <w:sz w:val="34"/>
          <w:szCs w:val="34"/>
        </w:rPr>
      </w:pPr>
      <w:r>
        <w:rPr>
          <w:rFonts w:hint="eastAsia" w:ascii="仿宋_GB2312" w:hAnsi="仿宋" w:eastAsia="仿宋_GB2312" w:cs="仿宋_GB2312"/>
          <w:b/>
          <w:bCs/>
          <w:sz w:val="34"/>
          <w:szCs w:val="34"/>
        </w:rPr>
        <w:t>容量及数量：根据备用60分钟及UPS相关技术参数进行合理配置，投标人在投标文件中必须提供电池容量计算书（投标人必须采用电池恒功率放电表的方法来计算电池容量）和电池放电数据曲线（或表格）。</w:t>
      </w:r>
    </w:p>
    <w:p w14:paraId="742D244B">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电池设计寿命：10年，质保5年。</w:t>
      </w:r>
    </w:p>
    <w:p w14:paraId="6E549F6F">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电池柜：高度、深度和颜色必须与UPS主机柜协调一致。</w:t>
      </w:r>
    </w:p>
    <w:p w14:paraId="720F90C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电池柜用2mm厚冷轧钢板制作而成，必须能承受7级地震。电池柜为前后左右开门，电池柜的层高必须大于400mm，以便电池的日常维护。</w:t>
      </w:r>
    </w:p>
    <w:p w14:paraId="5CCB19D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电池与电池连接电缆线必须采用铜芯阻燃软电缆，电池开关采用施耐德或者A</w:t>
      </w:r>
      <w:r>
        <w:rPr>
          <w:rFonts w:ascii="仿宋_GB2312" w:hAnsi="仿宋" w:eastAsia="仿宋_GB2312" w:cs="仿宋_GB2312"/>
          <w:sz w:val="34"/>
          <w:szCs w:val="34"/>
        </w:rPr>
        <w:t>BB</w:t>
      </w:r>
      <w:r>
        <w:rPr>
          <w:rFonts w:hint="eastAsia" w:ascii="仿宋_GB2312" w:hAnsi="仿宋" w:eastAsia="仿宋_GB2312" w:cs="仿宋_GB2312"/>
          <w:sz w:val="34"/>
          <w:szCs w:val="34"/>
        </w:rPr>
        <w:t>直流断路器。</w:t>
      </w:r>
    </w:p>
    <w:p w14:paraId="6418CF3F">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7</w:t>
      </w:r>
      <w:r>
        <w:rPr>
          <w:rFonts w:ascii="楷体_GB2312" w:hAnsi="仿宋" w:eastAsia="楷体_GB2312" w:cs="仿宋_GB2312"/>
          <w:sz w:val="34"/>
          <w:szCs w:val="34"/>
        </w:rPr>
        <w:t>.</w:t>
      </w:r>
      <w:r>
        <w:rPr>
          <w:rFonts w:hint="eastAsia" w:ascii="楷体_GB2312" w:hAnsi="仿宋" w:eastAsia="楷体_GB2312" w:cs="仿宋_GB2312"/>
          <w:sz w:val="34"/>
          <w:szCs w:val="34"/>
        </w:rPr>
        <w:t>UPS系统中机柜的防护等级</w:t>
      </w:r>
    </w:p>
    <w:p w14:paraId="12A6180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IP2X</w:t>
      </w:r>
    </w:p>
    <w:p w14:paraId="0D9822F9">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rPr>
        <w:t>8.旁路配置10kVA隔离变压器，稳压器。</w:t>
      </w:r>
    </w:p>
    <w:p w14:paraId="1BCDA681">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rPr>
        <w:t>9.旁路隔离稳压变压器柜内配置六路输出开关，开关选择施耐德，ABB,西门子品牌。</w:t>
      </w:r>
    </w:p>
    <w:p w14:paraId="0A6A68BF">
      <w:pPr>
        <w:spacing w:line="600" w:lineRule="exact"/>
        <w:rPr>
          <w:rFonts w:ascii="黑体" w:hAnsi="黑体" w:eastAsia="黑体"/>
          <w:sz w:val="34"/>
          <w:szCs w:val="34"/>
        </w:rPr>
      </w:pPr>
      <w:r>
        <w:rPr>
          <w:rFonts w:hint="eastAsia" w:ascii="黑体" w:hAnsi="黑体" w:eastAsia="黑体"/>
          <w:sz w:val="34"/>
          <w:szCs w:val="34"/>
        </w:rPr>
        <w:t>六、技术资料</w:t>
      </w:r>
    </w:p>
    <w:tbl>
      <w:tblPr>
        <w:tblStyle w:val="7"/>
        <w:tblW w:w="91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44"/>
        <w:gridCol w:w="948"/>
        <w:gridCol w:w="1185"/>
        <w:gridCol w:w="2370"/>
        <w:gridCol w:w="948"/>
      </w:tblGrid>
      <w:tr w14:paraId="799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C33CAE1">
            <w:pPr>
              <w:spacing w:line="600" w:lineRule="exact"/>
              <w:jc w:val="center"/>
              <w:rPr>
                <w:rFonts w:ascii="宋体" w:hAnsi="宋体"/>
                <w:sz w:val="24"/>
                <w:szCs w:val="24"/>
              </w:rPr>
            </w:pPr>
            <w:r>
              <w:rPr>
                <w:rFonts w:hint="eastAsia" w:ascii="宋体" w:hAnsi="宋体"/>
                <w:sz w:val="24"/>
                <w:szCs w:val="24"/>
              </w:rPr>
              <w:t>序号</w:t>
            </w:r>
          </w:p>
        </w:tc>
        <w:tc>
          <w:tcPr>
            <w:tcW w:w="2844" w:type="dxa"/>
            <w:vAlign w:val="center"/>
          </w:tcPr>
          <w:p w14:paraId="14E0A0CE">
            <w:pPr>
              <w:spacing w:line="600" w:lineRule="exact"/>
              <w:jc w:val="center"/>
              <w:rPr>
                <w:rFonts w:ascii="宋体" w:hAnsi="宋体"/>
                <w:sz w:val="24"/>
                <w:szCs w:val="24"/>
              </w:rPr>
            </w:pPr>
            <w:r>
              <w:rPr>
                <w:rFonts w:hint="eastAsia" w:ascii="宋体" w:hAnsi="宋体"/>
                <w:sz w:val="24"/>
                <w:szCs w:val="24"/>
              </w:rPr>
              <w:t>技术资料名称</w:t>
            </w:r>
          </w:p>
        </w:tc>
        <w:tc>
          <w:tcPr>
            <w:tcW w:w="948" w:type="dxa"/>
            <w:vAlign w:val="center"/>
          </w:tcPr>
          <w:p w14:paraId="7ACCB5C2">
            <w:pPr>
              <w:spacing w:line="600" w:lineRule="exact"/>
              <w:jc w:val="center"/>
              <w:rPr>
                <w:rFonts w:ascii="宋体" w:hAnsi="宋体"/>
                <w:sz w:val="24"/>
                <w:szCs w:val="24"/>
              </w:rPr>
            </w:pPr>
            <w:r>
              <w:rPr>
                <w:rFonts w:hint="eastAsia" w:ascii="宋体" w:hAnsi="宋体"/>
                <w:sz w:val="24"/>
                <w:szCs w:val="24"/>
              </w:rPr>
              <w:t>数量</w:t>
            </w:r>
          </w:p>
        </w:tc>
        <w:tc>
          <w:tcPr>
            <w:tcW w:w="1185" w:type="dxa"/>
            <w:vAlign w:val="center"/>
          </w:tcPr>
          <w:p w14:paraId="02F973E1">
            <w:pPr>
              <w:spacing w:line="600" w:lineRule="exact"/>
              <w:jc w:val="center"/>
              <w:rPr>
                <w:rFonts w:ascii="宋体" w:hAnsi="宋体"/>
                <w:sz w:val="24"/>
                <w:szCs w:val="24"/>
              </w:rPr>
            </w:pPr>
            <w:r>
              <w:rPr>
                <w:rFonts w:hint="eastAsia" w:ascii="宋体" w:hAnsi="宋体"/>
                <w:sz w:val="24"/>
                <w:szCs w:val="24"/>
              </w:rPr>
              <w:t>文字</w:t>
            </w:r>
          </w:p>
        </w:tc>
        <w:tc>
          <w:tcPr>
            <w:tcW w:w="2370" w:type="dxa"/>
            <w:vAlign w:val="center"/>
          </w:tcPr>
          <w:p w14:paraId="1C272836">
            <w:pPr>
              <w:spacing w:line="600" w:lineRule="exact"/>
              <w:jc w:val="center"/>
              <w:rPr>
                <w:rFonts w:ascii="宋体" w:hAnsi="宋体"/>
                <w:sz w:val="24"/>
                <w:szCs w:val="24"/>
              </w:rPr>
            </w:pPr>
            <w:r>
              <w:rPr>
                <w:rFonts w:hint="eastAsia" w:ascii="宋体" w:hAnsi="宋体"/>
                <w:sz w:val="24"/>
                <w:szCs w:val="24"/>
              </w:rPr>
              <w:t>提供日期</w:t>
            </w:r>
          </w:p>
        </w:tc>
        <w:tc>
          <w:tcPr>
            <w:tcW w:w="948" w:type="dxa"/>
            <w:vAlign w:val="center"/>
          </w:tcPr>
          <w:p w14:paraId="7E682CB9">
            <w:pPr>
              <w:spacing w:line="600" w:lineRule="exact"/>
              <w:jc w:val="center"/>
              <w:rPr>
                <w:rFonts w:ascii="宋体" w:hAnsi="宋体"/>
                <w:sz w:val="24"/>
                <w:szCs w:val="24"/>
              </w:rPr>
            </w:pPr>
            <w:r>
              <w:rPr>
                <w:rFonts w:hint="eastAsia" w:ascii="宋体" w:hAnsi="宋体"/>
                <w:sz w:val="24"/>
                <w:szCs w:val="24"/>
              </w:rPr>
              <w:t>备注</w:t>
            </w:r>
          </w:p>
        </w:tc>
      </w:tr>
      <w:tr w14:paraId="0FD4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F979B18">
            <w:pPr>
              <w:spacing w:line="600" w:lineRule="exact"/>
              <w:jc w:val="center"/>
              <w:rPr>
                <w:rFonts w:ascii="宋体" w:hAnsi="宋体"/>
                <w:sz w:val="24"/>
                <w:szCs w:val="24"/>
              </w:rPr>
            </w:pPr>
            <w:r>
              <w:rPr>
                <w:rFonts w:hint="eastAsia" w:ascii="宋体" w:hAnsi="宋体"/>
                <w:sz w:val="24"/>
                <w:szCs w:val="24"/>
              </w:rPr>
              <w:t>1</w:t>
            </w:r>
          </w:p>
        </w:tc>
        <w:tc>
          <w:tcPr>
            <w:tcW w:w="2844" w:type="dxa"/>
            <w:vAlign w:val="center"/>
          </w:tcPr>
          <w:p w14:paraId="66E72B54">
            <w:pPr>
              <w:spacing w:line="600" w:lineRule="exact"/>
              <w:rPr>
                <w:rFonts w:ascii="宋体" w:hAnsi="宋体"/>
                <w:sz w:val="24"/>
                <w:szCs w:val="24"/>
              </w:rPr>
            </w:pPr>
            <w:r>
              <w:rPr>
                <w:rFonts w:hint="eastAsia" w:ascii="宋体" w:hAnsi="宋体"/>
                <w:sz w:val="24"/>
                <w:szCs w:val="24"/>
              </w:rPr>
              <w:t>UPS系统电路图</w:t>
            </w:r>
          </w:p>
        </w:tc>
        <w:tc>
          <w:tcPr>
            <w:tcW w:w="948" w:type="dxa"/>
            <w:vAlign w:val="center"/>
          </w:tcPr>
          <w:p w14:paraId="180C74B2">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3F9BF76A">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6ED599BB">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63D94D8B">
            <w:pPr>
              <w:spacing w:line="600" w:lineRule="exact"/>
              <w:jc w:val="center"/>
              <w:rPr>
                <w:rFonts w:ascii="宋体" w:hAnsi="宋体"/>
                <w:sz w:val="24"/>
                <w:szCs w:val="24"/>
              </w:rPr>
            </w:pPr>
          </w:p>
        </w:tc>
      </w:tr>
      <w:tr w14:paraId="453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9BE0BD7">
            <w:pPr>
              <w:spacing w:line="600" w:lineRule="exact"/>
              <w:jc w:val="center"/>
              <w:rPr>
                <w:rFonts w:ascii="宋体" w:hAnsi="宋体"/>
                <w:sz w:val="24"/>
                <w:szCs w:val="24"/>
              </w:rPr>
            </w:pPr>
            <w:r>
              <w:rPr>
                <w:rFonts w:hint="eastAsia" w:ascii="宋体" w:hAnsi="宋体"/>
                <w:sz w:val="24"/>
                <w:szCs w:val="24"/>
              </w:rPr>
              <w:t>2</w:t>
            </w:r>
          </w:p>
        </w:tc>
        <w:tc>
          <w:tcPr>
            <w:tcW w:w="2844" w:type="dxa"/>
            <w:vAlign w:val="center"/>
          </w:tcPr>
          <w:p w14:paraId="292404BD">
            <w:pPr>
              <w:spacing w:line="600" w:lineRule="exact"/>
              <w:rPr>
                <w:rFonts w:ascii="宋体" w:hAnsi="宋体"/>
                <w:sz w:val="24"/>
                <w:szCs w:val="24"/>
              </w:rPr>
            </w:pPr>
            <w:r>
              <w:rPr>
                <w:rFonts w:hint="eastAsia" w:ascii="宋体" w:hAnsi="宋体"/>
                <w:sz w:val="24"/>
                <w:szCs w:val="24"/>
              </w:rPr>
              <w:t>机柜外形尺寸及重量</w:t>
            </w:r>
          </w:p>
        </w:tc>
        <w:tc>
          <w:tcPr>
            <w:tcW w:w="948" w:type="dxa"/>
            <w:vAlign w:val="center"/>
          </w:tcPr>
          <w:p w14:paraId="00FEE11C">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2F67F46E">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74559FDA">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5588B18C">
            <w:pPr>
              <w:spacing w:line="600" w:lineRule="exact"/>
              <w:jc w:val="center"/>
              <w:rPr>
                <w:rFonts w:ascii="宋体" w:hAnsi="宋体"/>
                <w:sz w:val="24"/>
                <w:szCs w:val="24"/>
              </w:rPr>
            </w:pPr>
          </w:p>
        </w:tc>
      </w:tr>
      <w:tr w14:paraId="1910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1889CB5">
            <w:pPr>
              <w:spacing w:line="600" w:lineRule="exact"/>
              <w:jc w:val="center"/>
              <w:rPr>
                <w:rFonts w:ascii="宋体" w:hAnsi="宋体"/>
                <w:sz w:val="24"/>
                <w:szCs w:val="24"/>
              </w:rPr>
            </w:pPr>
            <w:r>
              <w:rPr>
                <w:rFonts w:hint="eastAsia" w:ascii="宋体" w:hAnsi="宋体"/>
                <w:sz w:val="24"/>
                <w:szCs w:val="24"/>
              </w:rPr>
              <w:t>3</w:t>
            </w:r>
          </w:p>
        </w:tc>
        <w:tc>
          <w:tcPr>
            <w:tcW w:w="2844" w:type="dxa"/>
            <w:vAlign w:val="center"/>
          </w:tcPr>
          <w:p w14:paraId="1366AC8B">
            <w:pPr>
              <w:spacing w:line="600" w:lineRule="exact"/>
              <w:rPr>
                <w:rFonts w:ascii="宋体" w:hAnsi="宋体"/>
                <w:sz w:val="24"/>
                <w:szCs w:val="24"/>
              </w:rPr>
            </w:pPr>
            <w:r>
              <w:rPr>
                <w:rFonts w:hint="eastAsia" w:ascii="宋体" w:hAnsi="宋体"/>
                <w:sz w:val="24"/>
                <w:szCs w:val="24"/>
              </w:rPr>
              <w:t>平面布置图</w:t>
            </w:r>
          </w:p>
        </w:tc>
        <w:tc>
          <w:tcPr>
            <w:tcW w:w="948" w:type="dxa"/>
            <w:vAlign w:val="center"/>
          </w:tcPr>
          <w:p w14:paraId="4BBE272E">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21CF2FD9">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0CC79ACF">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1345BAEE">
            <w:pPr>
              <w:spacing w:line="600" w:lineRule="exact"/>
              <w:jc w:val="center"/>
              <w:rPr>
                <w:rFonts w:ascii="宋体" w:hAnsi="宋体"/>
                <w:sz w:val="24"/>
                <w:szCs w:val="24"/>
              </w:rPr>
            </w:pPr>
          </w:p>
        </w:tc>
      </w:tr>
      <w:tr w14:paraId="104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78CD7B0">
            <w:pPr>
              <w:spacing w:line="600" w:lineRule="exact"/>
              <w:jc w:val="center"/>
              <w:rPr>
                <w:rFonts w:ascii="宋体" w:hAnsi="宋体"/>
                <w:sz w:val="24"/>
                <w:szCs w:val="24"/>
              </w:rPr>
            </w:pPr>
            <w:r>
              <w:rPr>
                <w:rFonts w:hint="eastAsia" w:ascii="宋体" w:hAnsi="宋体"/>
                <w:sz w:val="24"/>
                <w:szCs w:val="24"/>
              </w:rPr>
              <w:t>4</w:t>
            </w:r>
          </w:p>
        </w:tc>
        <w:tc>
          <w:tcPr>
            <w:tcW w:w="2844" w:type="dxa"/>
            <w:vAlign w:val="center"/>
          </w:tcPr>
          <w:p w14:paraId="44F55F1F">
            <w:pPr>
              <w:spacing w:line="600" w:lineRule="exact"/>
              <w:rPr>
                <w:rFonts w:ascii="宋体" w:hAnsi="宋体"/>
                <w:sz w:val="24"/>
                <w:szCs w:val="24"/>
              </w:rPr>
            </w:pPr>
            <w:r>
              <w:rPr>
                <w:rFonts w:hint="eastAsia" w:ascii="宋体" w:hAnsi="宋体"/>
                <w:sz w:val="24"/>
                <w:szCs w:val="24"/>
              </w:rPr>
              <w:t>基础图</w:t>
            </w:r>
          </w:p>
        </w:tc>
        <w:tc>
          <w:tcPr>
            <w:tcW w:w="948" w:type="dxa"/>
            <w:vAlign w:val="center"/>
          </w:tcPr>
          <w:p w14:paraId="77AC7F64">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3683836D">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77CE8800">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63E63FDD">
            <w:pPr>
              <w:spacing w:line="600" w:lineRule="exact"/>
              <w:jc w:val="center"/>
              <w:rPr>
                <w:rFonts w:ascii="宋体" w:hAnsi="宋体"/>
                <w:sz w:val="24"/>
                <w:szCs w:val="24"/>
              </w:rPr>
            </w:pPr>
          </w:p>
        </w:tc>
      </w:tr>
      <w:tr w14:paraId="0947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B8D990A">
            <w:pPr>
              <w:spacing w:line="600" w:lineRule="exact"/>
              <w:jc w:val="center"/>
              <w:rPr>
                <w:rFonts w:ascii="宋体" w:hAnsi="宋体"/>
                <w:sz w:val="24"/>
                <w:szCs w:val="24"/>
              </w:rPr>
            </w:pPr>
            <w:r>
              <w:rPr>
                <w:rFonts w:hint="eastAsia" w:ascii="宋体" w:hAnsi="宋体"/>
                <w:sz w:val="24"/>
                <w:szCs w:val="24"/>
              </w:rPr>
              <w:t>5</w:t>
            </w:r>
          </w:p>
        </w:tc>
        <w:tc>
          <w:tcPr>
            <w:tcW w:w="2844" w:type="dxa"/>
            <w:vAlign w:val="center"/>
          </w:tcPr>
          <w:p w14:paraId="7F3F1BCF">
            <w:pPr>
              <w:spacing w:line="600" w:lineRule="exact"/>
              <w:rPr>
                <w:rFonts w:ascii="宋体" w:hAnsi="宋体"/>
                <w:sz w:val="24"/>
                <w:szCs w:val="24"/>
              </w:rPr>
            </w:pPr>
            <w:r>
              <w:rPr>
                <w:rFonts w:hint="eastAsia" w:ascii="宋体" w:hAnsi="宋体"/>
                <w:sz w:val="24"/>
                <w:szCs w:val="24"/>
              </w:rPr>
              <w:t>接线图</w:t>
            </w:r>
          </w:p>
        </w:tc>
        <w:tc>
          <w:tcPr>
            <w:tcW w:w="948" w:type="dxa"/>
            <w:vAlign w:val="center"/>
          </w:tcPr>
          <w:p w14:paraId="04799BF1">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14:paraId="6CC077DE">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2B81FF7D">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14:paraId="504EEEC1">
            <w:pPr>
              <w:spacing w:line="600" w:lineRule="exact"/>
              <w:jc w:val="center"/>
              <w:rPr>
                <w:rFonts w:ascii="宋体" w:hAnsi="宋体"/>
                <w:sz w:val="24"/>
                <w:szCs w:val="24"/>
              </w:rPr>
            </w:pPr>
          </w:p>
        </w:tc>
      </w:tr>
      <w:tr w14:paraId="3C04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0C1B8AB3">
            <w:pPr>
              <w:spacing w:line="600" w:lineRule="exact"/>
              <w:jc w:val="center"/>
              <w:rPr>
                <w:rFonts w:ascii="宋体" w:hAnsi="宋体"/>
                <w:sz w:val="24"/>
                <w:szCs w:val="24"/>
              </w:rPr>
            </w:pPr>
            <w:r>
              <w:rPr>
                <w:rFonts w:hint="eastAsia" w:ascii="宋体" w:hAnsi="宋体"/>
                <w:sz w:val="24"/>
                <w:szCs w:val="24"/>
              </w:rPr>
              <w:t>6</w:t>
            </w:r>
          </w:p>
        </w:tc>
        <w:tc>
          <w:tcPr>
            <w:tcW w:w="2844" w:type="dxa"/>
            <w:vAlign w:val="center"/>
          </w:tcPr>
          <w:p w14:paraId="2D45DD06">
            <w:pPr>
              <w:spacing w:line="600" w:lineRule="exact"/>
              <w:rPr>
                <w:rFonts w:ascii="宋体" w:hAnsi="宋体"/>
                <w:sz w:val="24"/>
                <w:szCs w:val="24"/>
              </w:rPr>
            </w:pPr>
            <w:r>
              <w:rPr>
                <w:rFonts w:hint="eastAsia" w:ascii="宋体" w:hAnsi="宋体"/>
                <w:sz w:val="24"/>
                <w:szCs w:val="24"/>
              </w:rPr>
              <w:t>安装手册</w:t>
            </w:r>
          </w:p>
        </w:tc>
        <w:tc>
          <w:tcPr>
            <w:tcW w:w="948" w:type="dxa"/>
            <w:vAlign w:val="center"/>
          </w:tcPr>
          <w:p w14:paraId="2B297912">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3F19CF55">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0AD89C39">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14:paraId="5F9D2184">
            <w:pPr>
              <w:spacing w:line="600" w:lineRule="exact"/>
              <w:jc w:val="center"/>
              <w:rPr>
                <w:rFonts w:ascii="宋体" w:hAnsi="宋体"/>
                <w:sz w:val="24"/>
                <w:szCs w:val="24"/>
              </w:rPr>
            </w:pPr>
          </w:p>
        </w:tc>
      </w:tr>
      <w:tr w14:paraId="167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86CC35A">
            <w:pPr>
              <w:spacing w:line="600" w:lineRule="exact"/>
              <w:jc w:val="center"/>
              <w:rPr>
                <w:rFonts w:ascii="宋体" w:hAnsi="宋体"/>
                <w:sz w:val="24"/>
                <w:szCs w:val="24"/>
              </w:rPr>
            </w:pPr>
            <w:r>
              <w:rPr>
                <w:rFonts w:hint="eastAsia" w:ascii="宋体" w:hAnsi="宋体"/>
                <w:sz w:val="24"/>
                <w:szCs w:val="24"/>
              </w:rPr>
              <w:t>7</w:t>
            </w:r>
          </w:p>
        </w:tc>
        <w:tc>
          <w:tcPr>
            <w:tcW w:w="2844" w:type="dxa"/>
            <w:vAlign w:val="center"/>
          </w:tcPr>
          <w:p w14:paraId="2BC69D43">
            <w:pPr>
              <w:spacing w:line="600" w:lineRule="exact"/>
              <w:rPr>
                <w:rFonts w:ascii="宋体" w:hAnsi="宋体"/>
                <w:sz w:val="24"/>
                <w:szCs w:val="24"/>
              </w:rPr>
            </w:pPr>
            <w:r>
              <w:rPr>
                <w:rFonts w:hint="eastAsia" w:ascii="宋体" w:hAnsi="宋体"/>
                <w:sz w:val="24"/>
                <w:szCs w:val="24"/>
              </w:rPr>
              <w:t>用户使用手册</w:t>
            </w:r>
          </w:p>
        </w:tc>
        <w:tc>
          <w:tcPr>
            <w:tcW w:w="948" w:type="dxa"/>
            <w:vAlign w:val="center"/>
          </w:tcPr>
          <w:p w14:paraId="4E5209BC">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0A54DDEE">
            <w:pPr>
              <w:spacing w:line="600" w:lineRule="exact"/>
              <w:jc w:val="center"/>
              <w:rPr>
                <w:rFonts w:ascii="宋体" w:hAnsi="宋体"/>
                <w:sz w:val="24"/>
                <w:szCs w:val="24"/>
              </w:rPr>
            </w:pPr>
            <w:r>
              <w:rPr>
                <w:rFonts w:hint="eastAsia" w:ascii="宋体" w:hAnsi="宋体"/>
                <w:sz w:val="24"/>
                <w:szCs w:val="24"/>
              </w:rPr>
              <w:t>中英文各2份</w:t>
            </w:r>
          </w:p>
        </w:tc>
        <w:tc>
          <w:tcPr>
            <w:tcW w:w="2370" w:type="dxa"/>
            <w:vAlign w:val="center"/>
          </w:tcPr>
          <w:p w14:paraId="289EDCAA">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14:paraId="04927A3B">
            <w:pPr>
              <w:spacing w:line="600" w:lineRule="exact"/>
              <w:jc w:val="center"/>
              <w:rPr>
                <w:rFonts w:ascii="宋体" w:hAnsi="宋体"/>
                <w:sz w:val="24"/>
                <w:szCs w:val="24"/>
              </w:rPr>
            </w:pPr>
          </w:p>
        </w:tc>
      </w:tr>
      <w:tr w14:paraId="405D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7D7572E1">
            <w:pPr>
              <w:spacing w:line="600" w:lineRule="exact"/>
              <w:jc w:val="center"/>
              <w:rPr>
                <w:rFonts w:ascii="宋体" w:hAnsi="宋体"/>
                <w:sz w:val="24"/>
                <w:szCs w:val="24"/>
              </w:rPr>
            </w:pPr>
            <w:r>
              <w:rPr>
                <w:rFonts w:hint="eastAsia" w:ascii="宋体" w:hAnsi="宋体"/>
                <w:sz w:val="24"/>
                <w:szCs w:val="24"/>
              </w:rPr>
              <w:t>8</w:t>
            </w:r>
          </w:p>
        </w:tc>
        <w:tc>
          <w:tcPr>
            <w:tcW w:w="2844" w:type="dxa"/>
            <w:vAlign w:val="center"/>
          </w:tcPr>
          <w:p w14:paraId="25FC9F5C">
            <w:pPr>
              <w:spacing w:line="600" w:lineRule="exact"/>
              <w:rPr>
                <w:rFonts w:ascii="宋体" w:hAnsi="宋体"/>
                <w:sz w:val="24"/>
                <w:szCs w:val="24"/>
              </w:rPr>
            </w:pPr>
            <w:r>
              <w:rPr>
                <w:rFonts w:hint="eastAsia" w:ascii="宋体" w:hAnsi="宋体"/>
                <w:sz w:val="24"/>
                <w:szCs w:val="24"/>
              </w:rPr>
              <w:t>出厂测试报告</w:t>
            </w:r>
          </w:p>
        </w:tc>
        <w:tc>
          <w:tcPr>
            <w:tcW w:w="948" w:type="dxa"/>
            <w:vAlign w:val="center"/>
          </w:tcPr>
          <w:p w14:paraId="2A5F3627">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11F08593">
            <w:pPr>
              <w:spacing w:line="600" w:lineRule="exact"/>
              <w:jc w:val="center"/>
              <w:rPr>
                <w:rFonts w:ascii="宋体" w:hAnsi="宋体"/>
                <w:sz w:val="24"/>
                <w:szCs w:val="24"/>
              </w:rPr>
            </w:pPr>
            <w:r>
              <w:rPr>
                <w:rFonts w:hint="eastAsia" w:ascii="宋体" w:hAnsi="宋体"/>
                <w:sz w:val="24"/>
                <w:szCs w:val="24"/>
              </w:rPr>
              <w:t>中英文各2份</w:t>
            </w:r>
          </w:p>
        </w:tc>
        <w:tc>
          <w:tcPr>
            <w:tcW w:w="2370" w:type="dxa"/>
            <w:vAlign w:val="center"/>
          </w:tcPr>
          <w:p w14:paraId="15137A4C">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14:paraId="384C5DF6">
            <w:pPr>
              <w:spacing w:line="600" w:lineRule="exact"/>
              <w:jc w:val="center"/>
              <w:rPr>
                <w:rFonts w:ascii="宋体" w:hAnsi="宋体"/>
                <w:sz w:val="24"/>
                <w:szCs w:val="24"/>
              </w:rPr>
            </w:pPr>
          </w:p>
        </w:tc>
      </w:tr>
      <w:tr w14:paraId="01D2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40BDFD5">
            <w:pPr>
              <w:spacing w:line="600" w:lineRule="exact"/>
              <w:jc w:val="center"/>
              <w:rPr>
                <w:rFonts w:ascii="宋体" w:hAnsi="宋体"/>
                <w:sz w:val="24"/>
                <w:szCs w:val="24"/>
              </w:rPr>
            </w:pPr>
            <w:r>
              <w:rPr>
                <w:rFonts w:hint="eastAsia" w:ascii="宋体" w:hAnsi="宋体"/>
                <w:sz w:val="24"/>
                <w:szCs w:val="24"/>
              </w:rPr>
              <w:t>9</w:t>
            </w:r>
          </w:p>
        </w:tc>
        <w:tc>
          <w:tcPr>
            <w:tcW w:w="2844" w:type="dxa"/>
            <w:vAlign w:val="center"/>
          </w:tcPr>
          <w:p w14:paraId="6647BACE">
            <w:pPr>
              <w:spacing w:line="600" w:lineRule="exact"/>
              <w:rPr>
                <w:rFonts w:ascii="宋体" w:hAnsi="宋体"/>
                <w:sz w:val="24"/>
                <w:szCs w:val="24"/>
              </w:rPr>
            </w:pPr>
            <w:r>
              <w:rPr>
                <w:rFonts w:hint="eastAsia" w:ascii="宋体" w:hAnsi="宋体"/>
                <w:sz w:val="24"/>
                <w:szCs w:val="24"/>
              </w:rPr>
              <w:t>调试报告</w:t>
            </w:r>
          </w:p>
        </w:tc>
        <w:tc>
          <w:tcPr>
            <w:tcW w:w="948" w:type="dxa"/>
            <w:vAlign w:val="center"/>
          </w:tcPr>
          <w:p w14:paraId="5B02F143">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14:paraId="15B1C6C3">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19698F7F">
            <w:pPr>
              <w:spacing w:line="600" w:lineRule="exact"/>
              <w:rPr>
                <w:rFonts w:ascii="宋体" w:hAnsi="宋体"/>
                <w:sz w:val="24"/>
                <w:szCs w:val="24"/>
              </w:rPr>
            </w:pPr>
            <w:r>
              <w:rPr>
                <w:rFonts w:hint="eastAsia" w:ascii="宋体" w:hAnsi="宋体"/>
                <w:sz w:val="24"/>
                <w:szCs w:val="24"/>
              </w:rPr>
              <w:t>调试完毕后一周内提供</w:t>
            </w:r>
          </w:p>
        </w:tc>
        <w:tc>
          <w:tcPr>
            <w:tcW w:w="948" w:type="dxa"/>
            <w:vAlign w:val="center"/>
          </w:tcPr>
          <w:p w14:paraId="07F44754">
            <w:pPr>
              <w:spacing w:line="600" w:lineRule="exact"/>
              <w:jc w:val="center"/>
              <w:rPr>
                <w:rFonts w:ascii="宋体" w:hAnsi="宋体"/>
                <w:sz w:val="24"/>
                <w:szCs w:val="24"/>
              </w:rPr>
            </w:pPr>
          </w:p>
        </w:tc>
      </w:tr>
      <w:tr w14:paraId="61A7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5FAA275E">
            <w:pPr>
              <w:spacing w:line="600" w:lineRule="exact"/>
              <w:jc w:val="center"/>
              <w:rPr>
                <w:rFonts w:ascii="宋体" w:hAnsi="宋体"/>
                <w:sz w:val="24"/>
                <w:szCs w:val="24"/>
              </w:rPr>
            </w:pPr>
            <w:r>
              <w:rPr>
                <w:rFonts w:hint="eastAsia" w:ascii="宋体" w:hAnsi="宋体"/>
                <w:sz w:val="24"/>
                <w:szCs w:val="24"/>
              </w:rPr>
              <w:t>10</w:t>
            </w:r>
          </w:p>
        </w:tc>
        <w:tc>
          <w:tcPr>
            <w:tcW w:w="2844" w:type="dxa"/>
            <w:vAlign w:val="center"/>
          </w:tcPr>
          <w:p w14:paraId="7E652F2A">
            <w:pPr>
              <w:spacing w:line="600" w:lineRule="exact"/>
              <w:rPr>
                <w:rFonts w:ascii="宋体" w:hAnsi="宋体"/>
                <w:sz w:val="24"/>
                <w:szCs w:val="24"/>
              </w:rPr>
            </w:pPr>
            <w:r>
              <w:rPr>
                <w:rFonts w:hint="eastAsia" w:ascii="宋体" w:hAnsi="宋体"/>
                <w:sz w:val="24"/>
                <w:szCs w:val="24"/>
              </w:rPr>
              <w:t>UPS原产地证明</w:t>
            </w:r>
          </w:p>
        </w:tc>
        <w:tc>
          <w:tcPr>
            <w:tcW w:w="948" w:type="dxa"/>
            <w:vAlign w:val="center"/>
          </w:tcPr>
          <w:p w14:paraId="07F771AE">
            <w:pPr>
              <w:spacing w:line="600" w:lineRule="exact"/>
              <w:jc w:val="center"/>
              <w:rPr>
                <w:rFonts w:ascii="宋体" w:hAnsi="宋体"/>
                <w:sz w:val="24"/>
                <w:szCs w:val="24"/>
              </w:rPr>
            </w:pPr>
            <w:r>
              <w:rPr>
                <w:rFonts w:hint="eastAsia" w:ascii="宋体" w:hAnsi="宋体"/>
                <w:sz w:val="24"/>
                <w:szCs w:val="24"/>
              </w:rPr>
              <w:t>1份</w:t>
            </w:r>
          </w:p>
        </w:tc>
        <w:tc>
          <w:tcPr>
            <w:tcW w:w="1185" w:type="dxa"/>
            <w:vAlign w:val="center"/>
          </w:tcPr>
          <w:p w14:paraId="4C88B349">
            <w:pPr>
              <w:spacing w:line="600" w:lineRule="exact"/>
              <w:jc w:val="center"/>
              <w:rPr>
                <w:rFonts w:ascii="宋体" w:hAnsi="宋体"/>
                <w:sz w:val="24"/>
                <w:szCs w:val="24"/>
              </w:rPr>
            </w:pPr>
          </w:p>
        </w:tc>
        <w:tc>
          <w:tcPr>
            <w:tcW w:w="2370" w:type="dxa"/>
            <w:vAlign w:val="center"/>
          </w:tcPr>
          <w:p w14:paraId="79B22B4A">
            <w:pPr>
              <w:spacing w:line="600" w:lineRule="exact"/>
              <w:rPr>
                <w:rFonts w:ascii="宋体" w:hAnsi="宋体"/>
                <w:sz w:val="24"/>
                <w:szCs w:val="24"/>
              </w:rPr>
            </w:pPr>
            <w:r>
              <w:rPr>
                <w:rFonts w:hint="eastAsia" w:ascii="宋体" w:hAnsi="宋体"/>
                <w:sz w:val="24"/>
                <w:szCs w:val="24"/>
              </w:rPr>
              <w:t>货物开箱时提供</w:t>
            </w:r>
          </w:p>
        </w:tc>
        <w:tc>
          <w:tcPr>
            <w:tcW w:w="948" w:type="dxa"/>
            <w:vAlign w:val="center"/>
          </w:tcPr>
          <w:p w14:paraId="1C62CCF6">
            <w:pPr>
              <w:spacing w:line="600" w:lineRule="exact"/>
              <w:jc w:val="center"/>
              <w:rPr>
                <w:rFonts w:ascii="宋体" w:hAnsi="宋体"/>
                <w:sz w:val="24"/>
                <w:szCs w:val="24"/>
              </w:rPr>
            </w:pPr>
          </w:p>
        </w:tc>
      </w:tr>
      <w:tr w14:paraId="11AB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7DA0D19D">
            <w:pPr>
              <w:spacing w:line="600" w:lineRule="exact"/>
              <w:jc w:val="center"/>
              <w:rPr>
                <w:rFonts w:ascii="宋体" w:hAnsi="宋体"/>
                <w:sz w:val="24"/>
                <w:szCs w:val="24"/>
              </w:rPr>
            </w:pPr>
            <w:r>
              <w:rPr>
                <w:rFonts w:hint="eastAsia" w:ascii="宋体" w:hAnsi="宋体"/>
                <w:sz w:val="24"/>
                <w:szCs w:val="24"/>
              </w:rPr>
              <w:t>11</w:t>
            </w:r>
          </w:p>
        </w:tc>
        <w:tc>
          <w:tcPr>
            <w:tcW w:w="2844" w:type="dxa"/>
            <w:vAlign w:val="center"/>
          </w:tcPr>
          <w:p w14:paraId="0D35BF14">
            <w:pPr>
              <w:spacing w:line="600" w:lineRule="exact"/>
              <w:rPr>
                <w:rFonts w:ascii="宋体" w:hAnsi="宋体"/>
                <w:sz w:val="24"/>
                <w:szCs w:val="24"/>
              </w:rPr>
            </w:pPr>
            <w:r>
              <w:rPr>
                <w:rFonts w:hint="eastAsia" w:ascii="宋体" w:hAnsi="宋体"/>
                <w:sz w:val="24"/>
                <w:szCs w:val="24"/>
              </w:rPr>
              <w:t>UPS报关单</w:t>
            </w:r>
          </w:p>
        </w:tc>
        <w:tc>
          <w:tcPr>
            <w:tcW w:w="948" w:type="dxa"/>
            <w:vAlign w:val="center"/>
          </w:tcPr>
          <w:p w14:paraId="3C00C787">
            <w:pPr>
              <w:spacing w:line="600" w:lineRule="exact"/>
              <w:jc w:val="center"/>
              <w:rPr>
                <w:rFonts w:ascii="宋体" w:hAnsi="宋体"/>
                <w:sz w:val="24"/>
                <w:szCs w:val="24"/>
              </w:rPr>
            </w:pPr>
            <w:r>
              <w:rPr>
                <w:rFonts w:hint="eastAsia" w:ascii="宋体" w:hAnsi="宋体"/>
                <w:sz w:val="24"/>
                <w:szCs w:val="24"/>
              </w:rPr>
              <w:t>1份</w:t>
            </w:r>
          </w:p>
        </w:tc>
        <w:tc>
          <w:tcPr>
            <w:tcW w:w="1185" w:type="dxa"/>
            <w:vAlign w:val="center"/>
          </w:tcPr>
          <w:p w14:paraId="1298EB7D">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14:paraId="2F421B59">
            <w:pPr>
              <w:spacing w:line="600" w:lineRule="exact"/>
              <w:rPr>
                <w:rFonts w:ascii="宋体" w:hAnsi="宋体"/>
                <w:sz w:val="24"/>
                <w:szCs w:val="24"/>
              </w:rPr>
            </w:pPr>
            <w:r>
              <w:rPr>
                <w:rFonts w:hint="eastAsia" w:ascii="宋体" w:hAnsi="宋体"/>
                <w:sz w:val="24"/>
                <w:szCs w:val="24"/>
              </w:rPr>
              <w:t>货物开箱时提供</w:t>
            </w:r>
          </w:p>
        </w:tc>
        <w:tc>
          <w:tcPr>
            <w:tcW w:w="948" w:type="dxa"/>
            <w:vAlign w:val="center"/>
          </w:tcPr>
          <w:p w14:paraId="7F0E90CD">
            <w:pPr>
              <w:spacing w:line="600" w:lineRule="exact"/>
              <w:jc w:val="center"/>
              <w:rPr>
                <w:rFonts w:ascii="宋体" w:hAnsi="宋体"/>
                <w:sz w:val="24"/>
                <w:szCs w:val="24"/>
              </w:rPr>
            </w:pPr>
          </w:p>
        </w:tc>
      </w:tr>
    </w:tbl>
    <w:p w14:paraId="40784979">
      <w:pPr>
        <w:spacing w:line="600" w:lineRule="exact"/>
        <w:rPr>
          <w:rFonts w:ascii="黑体" w:hAnsi="黑体" w:eastAsia="黑体"/>
          <w:sz w:val="34"/>
          <w:szCs w:val="34"/>
        </w:rPr>
      </w:pPr>
      <w:r>
        <w:rPr>
          <w:rFonts w:hint="eastAsia" w:ascii="黑体" w:hAnsi="黑体" w:eastAsia="黑体"/>
          <w:sz w:val="34"/>
          <w:szCs w:val="34"/>
        </w:rPr>
        <w:t>七、培训</w:t>
      </w:r>
    </w:p>
    <w:p w14:paraId="5BCB3EF7">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w:t>
      </w:r>
      <w:r>
        <w:rPr>
          <w:rFonts w:ascii="楷体_GB2312" w:hAnsi="仿宋" w:eastAsia="楷体_GB2312" w:cs="仿宋_GB2312"/>
          <w:sz w:val="34"/>
          <w:szCs w:val="34"/>
        </w:rPr>
        <w:t>.</w:t>
      </w:r>
      <w:r>
        <w:rPr>
          <w:rFonts w:hint="eastAsia" w:ascii="楷体_GB2312" w:hAnsi="仿宋" w:eastAsia="楷体_GB2312" w:cs="仿宋_GB2312"/>
          <w:sz w:val="34"/>
          <w:szCs w:val="34"/>
        </w:rPr>
        <w:t>现场培训</w:t>
      </w:r>
    </w:p>
    <w:p w14:paraId="0839D5D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时间：2-4小时</w:t>
      </w:r>
    </w:p>
    <w:p w14:paraId="597A4A39">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地点：UPS现场</w:t>
      </w:r>
    </w:p>
    <w:p w14:paraId="05ECFE0E">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人数：由招标方自定</w:t>
      </w:r>
    </w:p>
    <w:p w14:paraId="671B3973">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内容：UPS原理，UPS性能特点，UPS操作步骤，常见故障分析及处理</w:t>
      </w:r>
    </w:p>
    <w:p w14:paraId="3D842BE0">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授课人：必须是UPS制造商派出的工程师</w:t>
      </w:r>
    </w:p>
    <w:p w14:paraId="3F7F380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费用：免费</w:t>
      </w:r>
    </w:p>
    <w:p w14:paraId="640EDBAA">
      <w:pPr>
        <w:spacing w:line="600" w:lineRule="exact"/>
        <w:rPr>
          <w:rFonts w:ascii="黑体" w:hAnsi="黑体" w:eastAsia="黑体"/>
          <w:sz w:val="34"/>
          <w:szCs w:val="34"/>
        </w:rPr>
      </w:pPr>
      <w:r>
        <w:rPr>
          <w:rFonts w:hint="eastAsia" w:ascii="黑体" w:hAnsi="黑体" w:eastAsia="黑体"/>
          <w:sz w:val="34"/>
          <w:szCs w:val="34"/>
        </w:rPr>
        <w:t>八、技术服务及备件</w:t>
      </w:r>
    </w:p>
    <w:p w14:paraId="04A03214">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UPS制造商在长三角地区应有技术服务部。</w:t>
      </w:r>
    </w:p>
    <w:p w14:paraId="6C148DF7">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UPS制造商在长三角地区必须有备品备件库，确保服务及时性。</w:t>
      </w:r>
    </w:p>
    <w:p w14:paraId="64127DFC">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UPS需提供安装调试。</w:t>
      </w:r>
    </w:p>
    <w:p w14:paraId="5C6D825A">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质保期：UPS主机质保1年，电池的质保期5年，制造商须向直接用户提供终生技术服务的承诺书，技术服务响应时间：制造商的技术服务工程师须在12小时内到达UPS现场，24小时内修复并正式投运。</w:t>
      </w:r>
    </w:p>
    <w:tbl>
      <w:tblPr>
        <w:tblStyle w:val="6"/>
        <w:tblpPr w:leftFromText="180" w:rightFromText="180" w:vertAnchor="text" w:horzAnchor="page" w:tblpX="2190" w:tblpY="650"/>
        <w:tblOverlap w:val="never"/>
        <w:tblW w:w="79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8"/>
        <w:gridCol w:w="1842"/>
        <w:gridCol w:w="1198"/>
        <w:gridCol w:w="937"/>
        <w:gridCol w:w="3450"/>
      </w:tblGrid>
      <w:tr w14:paraId="471931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4" w:hRule="atLeast"/>
        </w:trPr>
        <w:tc>
          <w:tcPr>
            <w:tcW w:w="568" w:type="dxa"/>
            <w:tcBorders>
              <w:right w:val="single" w:color="000000" w:sz="6" w:space="0"/>
            </w:tcBorders>
          </w:tcPr>
          <w:p w14:paraId="67CB0EBB">
            <w:pPr>
              <w:pStyle w:val="13"/>
              <w:spacing w:line="600" w:lineRule="exact"/>
              <w:ind w:right="19"/>
              <w:jc w:val="right"/>
              <w:rPr>
                <w:sz w:val="24"/>
              </w:rPr>
            </w:pPr>
            <w:r>
              <w:rPr>
                <w:sz w:val="24"/>
              </w:rPr>
              <w:t>序号</w:t>
            </w:r>
          </w:p>
        </w:tc>
        <w:tc>
          <w:tcPr>
            <w:tcW w:w="1842" w:type="dxa"/>
            <w:tcBorders>
              <w:left w:val="single" w:color="000000" w:sz="6" w:space="0"/>
              <w:right w:val="single" w:color="000000" w:sz="6" w:space="0"/>
            </w:tcBorders>
          </w:tcPr>
          <w:p w14:paraId="0BC20213">
            <w:pPr>
              <w:pStyle w:val="13"/>
              <w:tabs>
                <w:tab w:val="left" w:pos="448"/>
              </w:tabs>
              <w:spacing w:line="600" w:lineRule="exact"/>
              <w:ind w:left="-37" w:right="296"/>
              <w:jc w:val="center"/>
              <w:rPr>
                <w:sz w:val="24"/>
              </w:rPr>
            </w:pPr>
            <w:r>
              <w:rPr>
                <w:rFonts w:hint="eastAsia"/>
                <w:sz w:val="24"/>
              </w:rPr>
              <w:t xml:space="preserve">  </w:t>
            </w:r>
            <w:r>
              <w:rPr>
                <w:sz w:val="24"/>
              </w:rPr>
              <w:t>名称</w:t>
            </w:r>
          </w:p>
        </w:tc>
        <w:tc>
          <w:tcPr>
            <w:tcW w:w="1198" w:type="dxa"/>
            <w:tcBorders>
              <w:left w:val="single" w:color="000000" w:sz="6" w:space="0"/>
              <w:right w:val="single" w:color="000000" w:sz="6" w:space="0"/>
            </w:tcBorders>
          </w:tcPr>
          <w:p w14:paraId="26F58AC7">
            <w:pPr>
              <w:pStyle w:val="13"/>
              <w:spacing w:line="600" w:lineRule="exact"/>
              <w:ind w:right="387" w:firstLine="240" w:firstLineChars="100"/>
              <w:jc w:val="left"/>
              <w:rPr>
                <w:sz w:val="24"/>
              </w:rPr>
            </w:pPr>
            <w:r>
              <w:rPr>
                <w:rFonts w:hint="eastAsia"/>
                <w:sz w:val="24"/>
              </w:rPr>
              <w:t>单位</w:t>
            </w:r>
          </w:p>
        </w:tc>
        <w:tc>
          <w:tcPr>
            <w:tcW w:w="937" w:type="dxa"/>
            <w:tcBorders>
              <w:left w:val="single" w:color="000000" w:sz="6" w:space="0"/>
            </w:tcBorders>
          </w:tcPr>
          <w:p w14:paraId="457F2013">
            <w:pPr>
              <w:pStyle w:val="13"/>
              <w:spacing w:line="600" w:lineRule="exact"/>
              <w:ind w:left="193"/>
              <w:rPr>
                <w:sz w:val="24"/>
              </w:rPr>
            </w:pPr>
            <w:r>
              <w:rPr>
                <w:sz w:val="24"/>
              </w:rPr>
              <w:t>数量</w:t>
            </w:r>
          </w:p>
        </w:tc>
        <w:tc>
          <w:tcPr>
            <w:tcW w:w="3450" w:type="dxa"/>
            <w:tcBorders>
              <w:left w:val="single" w:color="000000" w:sz="6" w:space="0"/>
            </w:tcBorders>
          </w:tcPr>
          <w:p w14:paraId="015702CF">
            <w:pPr>
              <w:pStyle w:val="13"/>
              <w:spacing w:line="600" w:lineRule="exact"/>
              <w:ind w:left="193"/>
              <w:rPr>
                <w:sz w:val="24"/>
              </w:rPr>
            </w:pPr>
            <w:r>
              <w:rPr>
                <w:rFonts w:hint="eastAsia"/>
                <w:sz w:val="24"/>
              </w:rPr>
              <w:t>备注</w:t>
            </w:r>
          </w:p>
        </w:tc>
      </w:tr>
      <w:tr w14:paraId="21F081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568" w:type="dxa"/>
            <w:tcBorders>
              <w:bottom w:val="single" w:color="000000" w:sz="6" w:space="0"/>
              <w:right w:val="single" w:color="000000" w:sz="6" w:space="0"/>
            </w:tcBorders>
          </w:tcPr>
          <w:p w14:paraId="40B24586">
            <w:pPr>
              <w:pStyle w:val="13"/>
              <w:spacing w:before="72" w:line="600" w:lineRule="exact"/>
              <w:ind w:right="79"/>
              <w:jc w:val="center"/>
              <w:rPr>
                <w:sz w:val="24"/>
              </w:rPr>
            </w:pPr>
            <w:r>
              <w:rPr>
                <w:sz w:val="24"/>
              </w:rPr>
              <w:t>1</w:t>
            </w:r>
          </w:p>
        </w:tc>
        <w:tc>
          <w:tcPr>
            <w:tcW w:w="1842" w:type="dxa"/>
            <w:tcBorders>
              <w:left w:val="single" w:color="000000" w:sz="6" w:space="0"/>
              <w:bottom w:val="single" w:color="000000" w:sz="6" w:space="0"/>
              <w:right w:val="single" w:color="000000" w:sz="6" w:space="0"/>
            </w:tcBorders>
          </w:tcPr>
          <w:p w14:paraId="32151B0B">
            <w:pPr>
              <w:pStyle w:val="13"/>
              <w:spacing w:before="72" w:line="600" w:lineRule="exact"/>
              <w:ind w:left="688"/>
              <w:rPr>
                <w:sz w:val="24"/>
              </w:rPr>
            </w:pPr>
            <w:r>
              <w:rPr>
                <w:sz w:val="24"/>
              </w:rPr>
              <w:t xml:space="preserve">风机 </w:t>
            </w:r>
          </w:p>
        </w:tc>
        <w:tc>
          <w:tcPr>
            <w:tcW w:w="1198" w:type="dxa"/>
            <w:tcBorders>
              <w:left w:val="single" w:color="000000" w:sz="6" w:space="0"/>
              <w:bottom w:val="single" w:color="000000" w:sz="6" w:space="0"/>
              <w:right w:val="single" w:color="000000" w:sz="6" w:space="0"/>
            </w:tcBorders>
          </w:tcPr>
          <w:p w14:paraId="1457F44D">
            <w:pPr>
              <w:pStyle w:val="13"/>
              <w:spacing w:before="72" w:line="600" w:lineRule="exact"/>
              <w:ind w:left="151"/>
              <w:jc w:val="center"/>
              <w:rPr>
                <w:sz w:val="24"/>
              </w:rPr>
            </w:pPr>
            <w:r>
              <w:rPr>
                <w:rFonts w:hint="eastAsia"/>
                <w:sz w:val="24"/>
              </w:rPr>
              <w:t>只</w:t>
            </w:r>
            <w:r>
              <w:rPr>
                <w:sz w:val="24"/>
              </w:rPr>
              <w:t xml:space="preserve"> </w:t>
            </w:r>
          </w:p>
        </w:tc>
        <w:tc>
          <w:tcPr>
            <w:tcW w:w="937" w:type="dxa"/>
            <w:tcBorders>
              <w:left w:val="single" w:color="000000" w:sz="6" w:space="0"/>
              <w:bottom w:val="single" w:color="000000" w:sz="6" w:space="0"/>
            </w:tcBorders>
          </w:tcPr>
          <w:p w14:paraId="18625DC8">
            <w:pPr>
              <w:pStyle w:val="13"/>
              <w:spacing w:before="72" w:line="600" w:lineRule="exact"/>
              <w:ind w:left="433"/>
              <w:rPr>
                <w:sz w:val="24"/>
              </w:rPr>
            </w:pPr>
            <w:r>
              <w:rPr>
                <w:rFonts w:hint="eastAsia"/>
                <w:sz w:val="24"/>
              </w:rPr>
              <w:t>21</w:t>
            </w:r>
          </w:p>
        </w:tc>
        <w:tc>
          <w:tcPr>
            <w:tcW w:w="3450" w:type="dxa"/>
            <w:tcBorders>
              <w:left w:val="single" w:color="000000" w:sz="6" w:space="0"/>
              <w:bottom w:val="single" w:color="000000" w:sz="6" w:space="0"/>
            </w:tcBorders>
          </w:tcPr>
          <w:p w14:paraId="151A9E28">
            <w:pPr>
              <w:pStyle w:val="13"/>
              <w:spacing w:before="72" w:line="600" w:lineRule="exact"/>
              <w:ind w:left="433"/>
              <w:rPr>
                <w:sz w:val="24"/>
              </w:rPr>
            </w:pPr>
            <w:r>
              <w:rPr>
                <w:rFonts w:hint="eastAsia"/>
                <w:sz w:val="24"/>
              </w:rPr>
              <w:t>与供货机器一致</w:t>
            </w:r>
          </w:p>
        </w:tc>
      </w:tr>
      <w:tr w14:paraId="6CF0DB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68" w:type="dxa"/>
            <w:tcBorders>
              <w:top w:val="single" w:color="000000" w:sz="6" w:space="0"/>
              <w:bottom w:val="single" w:color="000000" w:sz="6" w:space="0"/>
              <w:right w:val="single" w:color="000000" w:sz="6" w:space="0"/>
            </w:tcBorders>
          </w:tcPr>
          <w:p w14:paraId="5702D5AD">
            <w:pPr>
              <w:pStyle w:val="13"/>
              <w:spacing w:line="600" w:lineRule="exact"/>
              <w:ind w:right="79"/>
              <w:jc w:val="center"/>
              <w:rPr>
                <w:sz w:val="24"/>
              </w:rPr>
            </w:pPr>
            <w:r>
              <w:rPr>
                <w:sz w:val="24"/>
              </w:rPr>
              <w:t>2</w:t>
            </w:r>
          </w:p>
        </w:tc>
        <w:tc>
          <w:tcPr>
            <w:tcW w:w="1842" w:type="dxa"/>
            <w:tcBorders>
              <w:top w:val="single" w:color="000000" w:sz="6" w:space="0"/>
              <w:left w:val="single" w:color="000000" w:sz="6" w:space="0"/>
              <w:bottom w:val="single" w:color="000000" w:sz="6" w:space="0"/>
              <w:right w:val="single" w:color="000000" w:sz="6" w:space="0"/>
            </w:tcBorders>
          </w:tcPr>
          <w:p w14:paraId="2F8B50DF">
            <w:pPr>
              <w:pStyle w:val="13"/>
              <w:spacing w:line="600" w:lineRule="exact"/>
              <w:ind w:left="688"/>
              <w:rPr>
                <w:sz w:val="24"/>
              </w:rPr>
            </w:pPr>
            <w:r>
              <w:rPr>
                <w:sz w:val="24"/>
              </w:rPr>
              <w:t xml:space="preserve">保险 </w:t>
            </w:r>
          </w:p>
        </w:tc>
        <w:tc>
          <w:tcPr>
            <w:tcW w:w="1198" w:type="dxa"/>
            <w:tcBorders>
              <w:top w:val="single" w:color="000000" w:sz="6" w:space="0"/>
              <w:left w:val="single" w:color="000000" w:sz="6" w:space="0"/>
              <w:bottom w:val="single" w:color="000000" w:sz="6" w:space="0"/>
              <w:right w:val="single" w:color="000000" w:sz="6" w:space="0"/>
            </w:tcBorders>
          </w:tcPr>
          <w:p w14:paraId="6837136F">
            <w:pPr>
              <w:pStyle w:val="13"/>
              <w:spacing w:line="600" w:lineRule="exact"/>
              <w:ind w:left="151"/>
              <w:jc w:val="center"/>
              <w:rPr>
                <w:sz w:val="24"/>
              </w:rPr>
            </w:pPr>
            <w:r>
              <w:rPr>
                <w:rFonts w:hint="eastAsia"/>
                <w:sz w:val="24"/>
              </w:rPr>
              <w:t>套</w:t>
            </w:r>
            <w:r>
              <w:rPr>
                <w:sz w:val="24"/>
              </w:rPr>
              <w:t xml:space="preserve"> </w:t>
            </w:r>
          </w:p>
        </w:tc>
        <w:tc>
          <w:tcPr>
            <w:tcW w:w="937" w:type="dxa"/>
            <w:tcBorders>
              <w:top w:val="single" w:color="000000" w:sz="6" w:space="0"/>
              <w:left w:val="single" w:color="000000" w:sz="6" w:space="0"/>
              <w:bottom w:val="single" w:color="000000" w:sz="6" w:space="0"/>
            </w:tcBorders>
          </w:tcPr>
          <w:p w14:paraId="02CCC8E5">
            <w:pPr>
              <w:pStyle w:val="13"/>
              <w:spacing w:line="600" w:lineRule="exact"/>
              <w:ind w:left="433"/>
              <w:rPr>
                <w:sz w:val="24"/>
              </w:rPr>
            </w:pPr>
            <w:r>
              <w:rPr>
                <w:rFonts w:hint="eastAsia"/>
                <w:sz w:val="24"/>
              </w:rPr>
              <w:t>2</w:t>
            </w:r>
          </w:p>
        </w:tc>
        <w:tc>
          <w:tcPr>
            <w:tcW w:w="3450" w:type="dxa"/>
            <w:tcBorders>
              <w:top w:val="single" w:color="000000" w:sz="6" w:space="0"/>
              <w:left w:val="single" w:color="000000" w:sz="6" w:space="0"/>
              <w:bottom w:val="single" w:color="000000" w:sz="6" w:space="0"/>
            </w:tcBorders>
          </w:tcPr>
          <w:p w14:paraId="679B1C70">
            <w:pPr>
              <w:pStyle w:val="13"/>
              <w:spacing w:line="600" w:lineRule="exact"/>
              <w:ind w:left="433"/>
              <w:rPr>
                <w:sz w:val="24"/>
              </w:rPr>
            </w:pPr>
            <w:r>
              <w:rPr>
                <w:rFonts w:hint="eastAsia"/>
                <w:sz w:val="24"/>
              </w:rPr>
              <w:t>与供货机器一致</w:t>
            </w:r>
          </w:p>
        </w:tc>
      </w:tr>
      <w:tr w14:paraId="0F7864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68" w:type="dxa"/>
            <w:tcBorders>
              <w:top w:val="single" w:color="000000" w:sz="6" w:space="0"/>
              <w:bottom w:val="single" w:color="000000" w:sz="6" w:space="0"/>
              <w:right w:val="single" w:color="000000" w:sz="6" w:space="0"/>
            </w:tcBorders>
          </w:tcPr>
          <w:p w14:paraId="2FA665A9">
            <w:pPr>
              <w:pStyle w:val="13"/>
              <w:spacing w:line="600" w:lineRule="exact"/>
              <w:ind w:right="79"/>
              <w:jc w:val="right"/>
              <w:rPr>
                <w:sz w:val="24"/>
              </w:rPr>
            </w:pPr>
          </w:p>
        </w:tc>
        <w:tc>
          <w:tcPr>
            <w:tcW w:w="1842" w:type="dxa"/>
            <w:tcBorders>
              <w:top w:val="single" w:color="000000" w:sz="6" w:space="0"/>
              <w:left w:val="single" w:color="000000" w:sz="6" w:space="0"/>
              <w:bottom w:val="single" w:color="000000" w:sz="6" w:space="0"/>
              <w:right w:val="single" w:color="000000" w:sz="6" w:space="0"/>
            </w:tcBorders>
          </w:tcPr>
          <w:p w14:paraId="2645E7E2">
            <w:pPr>
              <w:pStyle w:val="13"/>
              <w:spacing w:line="600" w:lineRule="exact"/>
              <w:ind w:right="296"/>
              <w:jc w:val="right"/>
              <w:rPr>
                <w:sz w:val="24"/>
              </w:rPr>
            </w:pPr>
          </w:p>
        </w:tc>
        <w:tc>
          <w:tcPr>
            <w:tcW w:w="1198" w:type="dxa"/>
            <w:tcBorders>
              <w:top w:val="single" w:color="000000" w:sz="6" w:space="0"/>
              <w:left w:val="single" w:color="000000" w:sz="6" w:space="0"/>
              <w:bottom w:val="single" w:color="000000" w:sz="6" w:space="0"/>
              <w:right w:val="single" w:color="000000" w:sz="6" w:space="0"/>
            </w:tcBorders>
          </w:tcPr>
          <w:p w14:paraId="10E0A7B7">
            <w:pPr>
              <w:pStyle w:val="13"/>
              <w:spacing w:line="600" w:lineRule="exact"/>
              <w:ind w:left="151"/>
              <w:jc w:val="center"/>
              <w:rPr>
                <w:sz w:val="24"/>
              </w:rPr>
            </w:pPr>
          </w:p>
        </w:tc>
        <w:tc>
          <w:tcPr>
            <w:tcW w:w="937" w:type="dxa"/>
            <w:tcBorders>
              <w:top w:val="single" w:color="000000" w:sz="6" w:space="0"/>
              <w:left w:val="single" w:color="000000" w:sz="6" w:space="0"/>
              <w:bottom w:val="single" w:color="000000" w:sz="6" w:space="0"/>
            </w:tcBorders>
          </w:tcPr>
          <w:p w14:paraId="4E05E0B5">
            <w:pPr>
              <w:pStyle w:val="13"/>
              <w:spacing w:line="600" w:lineRule="exact"/>
              <w:ind w:left="433"/>
              <w:rPr>
                <w:sz w:val="24"/>
              </w:rPr>
            </w:pPr>
          </w:p>
        </w:tc>
        <w:tc>
          <w:tcPr>
            <w:tcW w:w="3450" w:type="dxa"/>
            <w:tcBorders>
              <w:top w:val="single" w:color="000000" w:sz="6" w:space="0"/>
              <w:left w:val="single" w:color="000000" w:sz="6" w:space="0"/>
              <w:bottom w:val="single" w:color="000000" w:sz="6" w:space="0"/>
            </w:tcBorders>
          </w:tcPr>
          <w:p w14:paraId="102BFEED">
            <w:pPr>
              <w:pStyle w:val="13"/>
              <w:spacing w:line="600" w:lineRule="exact"/>
              <w:ind w:left="433"/>
              <w:rPr>
                <w:sz w:val="24"/>
              </w:rPr>
            </w:pPr>
          </w:p>
        </w:tc>
      </w:tr>
    </w:tbl>
    <w:p w14:paraId="5E7D74FC">
      <w:pPr>
        <w:spacing w:line="600" w:lineRule="exact"/>
        <w:ind w:left="540"/>
        <w:rPr>
          <w:rFonts w:ascii="宋体" w:hAnsi="宋体"/>
          <w:sz w:val="24"/>
        </w:rPr>
      </w:pPr>
      <w:r>
        <w:rPr>
          <w:rFonts w:hint="eastAsia" w:ascii="宋体" w:hAnsi="宋体"/>
          <w:sz w:val="24"/>
        </w:rPr>
        <w:t>备品备件</w:t>
      </w:r>
    </w:p>
    <w:p w14:paraId="47F54A03">
      <w:pPr>
        <w:spacing w:line="600" w:lineRule="exact"/>
        <w:rPr>
          <w:rFonts w:ascii="黑体" w:hAnsi="黑体" w:eastAsia="黑体"/>
          <w:sz w:val="34"/>
          <w:szCs w:val="34"/>
        </w:rPr>
      </w:pPr>
      <w:r>
        <w:rPr>
          <w:rFonts w:hint="eastAsia" w:ascii="黑体" w:hAnsi="黑体" w:eastAsia="黑体"/>
          <w:sz w:val="34"/>
          <w:szCs w:val="34"/>
        </w:rPr>
        <w:t>九、供货时间</w:t>
      </w:r>
    </w:p>
    <w:p w14:paraId="3DF3B5F2">
      <w:pPr>
        <w:spacing w:line="600" w:lineRule="exact"/>
        <w:ind w:left="540"/>
        <w:rPr>
          <w:rFonts w:ascii="宋体" w:hAnsi="宋体"/>
          <w:sz w:val="34"/>
          <w:szCs w:val="34"/>
        </w:rPr>
      </w:pPr>
      <w:r>
        <w:rPr>
          <w:rFonts w:hint="eastAsia" w:ascii="宋体" w:hAnsi="宋体"/>
          <w:sz w:val="34"/>
          <w:szCs w:val="34"/>
        </w:rPr>
        <w:t>供货时间为用户指定时间。</w:t>
      </w:r>
    </w:p>
    <w:p w14:paraId="6E22382A">
      <w:pPr>
        <w:spacing w:line="600" w:lineRule="exact"/>
        <w:rPr>
          <w:rFonts w:ascii="宋体" w:hAnsi="宋体"/>
          <w:sz w:val="34"/>
          <w:szCs w:val="34"/>
        </w:rPr>
      </w:pPr>
      <w:r>
        <w:rPr>
          <w:rFonts w:hint="eastAsia" w:ascii="黑体" w:hAnsi="黑体" w:eastAsia="黑体"/>
          <w:sz w:val="34"/>
          <w:szCs w:val="34"/>
        </w:rPr>
        <w:t>十、配置清单：</w:t>
      </w:r>
    </w:p>
    <w:tbl>
      <w:tblPr>
        <w:tblStyle w:val="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2936"/>
        <w:gridCol w:w="808"/>
        <w:gridCol w:w="1985"/>
        <w:gridCol w:w="1527"/>
      </w:tblGrid>
      <w:tr w14:paraId="609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4F23DDBA">
            <w:pPr>
              <w:spacing w:line="460" w:lineRule="exact"/>
              <w:jc w:val="center"/>
              <w:rPr>
                <w:rFonts w:ascii="宋体" w:hAnsi="宋体"/>
                <w:b/>
                <w:szCs w:val="20"/>
              </w:rPr>
            </w:pPr>
            <w:r>
              <w:rPr>
                <w:rFonts w:hint="eastAsia" w:ascii="宋体" w:hAnsi="宋体"/>
                <w:b/>
                <w:szCs w:val="20"/>
              </w:rPr>
              <w:t>序号</w:t>
            </w:r>
          </w:p>
        </w:tc>
        <w:tc>
          <w:tcPr>
            <w:tcW w:w="2083" w:type="dxa"/>
            <w:vAlign w:val="center"/>
          </w:tcPr>
          <w:p w14:paraId="0EAF55AD">
            <w:pPr>
              <w:spacing w:line="460" w:lineRule="exact"/>
              <w:jc w:val="center"/>
              <w:rPr>
                <w:rFonts w:ascii="宋体" w:hAnsi="宋体"/>
                <w:b/>
                <w:szCs w:val="20"/>
              </w:rPr>
            </w:pPr>
            <w:r>
              <w:rPr>
                <w:rFonts w:hint="eastAsia" w:ascii="宋体" w:hAnsi="宋体"/>
                <w:b/>
                <w:szCs w:val="20"/>
              </w:rPr>
              <w:t>货物名称</w:t>
            </w:r>
          </w:p>
        </w:tc>
        <w:tc>
          <w:tcPr>
            <w:tcW w:w="2936" w:type="dxa"/>
            <w:vAlign w:val="center"/>
          </w:tcPr>
          <w:p w14:paraId="570C7DFE">
            <w:pPr>
              <w:spacing w:line="460" w:lineRule="exact"/>
              <w:jc w:val="center"/>
              <w:rPr>
                <w:rFonts w:ascii="宋体" w:hAnsi="宋体"/>
                <w:b/>
                <w:szCs w:val="20"/>
              </w:rPr>
            </w:pPr>
            <w:r>
              <w:rPr>
                <w:rFonts w:hint="eastAsia" w:ascii="宋体" w:hAnsi="宋体"/>
                <w:b/>
                <w:szCs w:val="20"/>
              </w:rPr>
              <w:t>规格型号</w:t>
            </w:r>
          </w:p>
        </w:tc>
        <w:tc>
          <w:tcPr>
            <w:tcW w:w="808" w:type="dxa"/>
            <w:vAlign w:val="center"/>
          </w:tcPr>
          <w:p w14:paraId="128905BC">
            <w:pPr>
              <w:spacing w:line="460" w:lineRule="exact"/>
              <w:jc w:val="center"/>
              <w:rPr>
                <w:rFonts w:ascii="宋体" w:hAnsi="宋体"/>
                <w:b/>
                <w:szCs w:val="20"/>
              </w:rPr>
            </w:pPr>
            <w:r>
              <w:rPr>
                <w:rFonts w:hint="eastAsia" w:ascii="宋体" w:hAnsi="宋体"/>
                <w:b/>
                <w:szCs w:val="20"/>
              </w:rPr>
              <w:t>数量</w:t>
            </w:r>
          </w:p>
        </w:tc>
        <w:tc>
          <w:tcPr>
            <w:tcW w:w="1985" w:type="dxa"/>
            <w:vAlign w:val="center"/>
          </w:tcPr>
          <w:p w14:paraId="4C5FCD65">
            <w:pPr>
              <w:spacing w:line="460" w:lineRule="exact"/>
              <w:jc w:val="center"/>
              <w:rPr>
                <w:rFonts w:ascii="宋体" w:hAnsi="宋体"/>
                <w:b/>
                <w:szCs w:val="20"/>
              </w:rPr>
            </w:pPr>
            <w:r>
              <w:rPr>
                <w:rFonts w:hint="eastAsia" w:ascii="宋体" w:hAnsi="宋体"/>
                <w:b/>
                <w:szCs w:val="20"/>
              </w:rPr>
              <w:t>制造厂商</w:t>
            </w:r>
          </w:p>
        </w:tc>
        <w:tc>
          <w:tcPr>
            <w:tcW w:w="1527" w:type="dxa"/>
            <w:vAlign w:val="center"/>
          </w:tcPr>
          <w:p w14:paraId="05ECF79D">
            <w:pPr>
              <w:spacing w:line="460" w:lineRule="exact"/>
              <w:jc w:val="center"/>
              <w:rPr>
                <w:rFonts w:ascii="宋体" w:hAnsi="宋体"/>
                <w:b/>
                <w:szCs w:val="20"/>
              </w:rPr>
            </w:pPr>
            <w:r>
              <w:rPr>
                <w:rFonts w:hint="eastAsia" w:ascii="宋体" w:hAnsi="宋体"/>
                <w:b/>
                <w:szCs w:val="20"/>
              </w:rPr>
              <w:t>备注</w:t>
            </w:r>
          </w:p>
        </w:tc>
      </w:tr>
      <w:tr w14:paraId="34A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132B44D0">
            <w:pPr>
              <w:spacing w:line="460" w:lineRule="exact"/>
              <w:jc w:val="center"/>
              <w:rPr>
                <w:rFonts w:ascii="宋体" w:hAnsi="宋体"/>
                <w:b/>
                <w:szCs w:val="20"/>
              </w:rPr>
            </w:pPr>
            <w:r>
              <w:rPr>
                <w:rFonts w:hint="eastAsia" w:ascii="宋体" w:hAnsi="宋体"/>
                <w:b/>
                <w:szCs w:val="20"/>
              </w:rPr>
              <w:t>1</w:t>
            </w:r>
          </w:p>
        </w:tc>
        <w:tc>
          <w:tcPr>
            <w:tcW w:w="2083" w:type="dxa"/>
            <w:vAlign w:val="center"/>
          </w:tcPr>
          <w:p w14:paraId="29FF0EA7">
            <w:pPr>
              <w:spacing w:line="460" w:lineRule="exact"/>
              <w:jc w:val="center"/>
              <w:rPr>
                <w:rFonts w:ascii="宋体" w:hAnsi="宋体"/>
                <w:b/>
                <w:szCs w:val="20"/>
              </w:rPr>
            </w:pPr>
            <w:r>
              <w:rPr>
                <w:rFonts w:hint="eastAsia" w:ascii="宋体" w:hAnsi="宋体"/>
                <w:b/>
                <w:szCs w:val="20"/>
              </w:rPr>
              <w:t>10kVA UPS主机</w:t>
            </w:r>
          </w:p>
        </w:tc>
        <w:tc>
          <w:tcPr>
            <w:tcW w:w="2936" w:type="dxa"/>
            <w:vAlign w:val="center"/>
          </w:tcPr>
          <w:p w14:paraId="3156AADD">
            <w:pPr>
              <w:spacing w:line="460" w:lineRule="exact"/>
              <w:jc w:val="center"/>
              <w:rPr>
                <w:rFonts w:ascii="宋体" w:hAnsi="宋体"/>
                <w:b/>
                <w:szCs w:val="20"/>
              </w:rPr>
            </w:pPr>
            <w:r>
              <w:rPr>
                <w:rFonts w:hint="eastAsia" w:ascii="宋体" w:hAnsi="宋体"/>
                <w:b/>
                <w:szCs w:val="20"/>
              </w:rPr>
              <w:t>输入输出隔离工业型</w:t>
            </w:r>
          </w:p>
        </w:tc>
        <w:tc>
          <w:tcPr>
            <w:tcW w:w="808" w:type="dxa"/>
            <w:vAlign w:val="center"/>
          </w:tcPr>
          <w:p w14:paraId="378C549D">
            <w:pPr>
              <w:spacing w:line="460" w:lineRule="exact"/>
              <w:jc w:val="center"/>
              <w:rPr>
                <w:rFonts w:ascii="宋体" w:hAnsi="宋体"/>
                <w:b/>
                <w:szCs w:val="20"/>
              </w:rPr>
            </w:pPr>
            <w:r>
              <w:rPr>
                <w:rFonts w:hint="eastAsia" w:ascii="宋体" w:hAnsi="宋体"/>
                <w:b/>
                <w:szCs w:val="20"/>
              </w:rPr>
              <w:t>2台</w:t>
            </w:r>
          </w:p>
        </w:tc>
        <w:tc>
          <w:tcPr>
            <w:tcW w:w="1985" w:type="dxa"/>
            <w:vAlign w:val="center"/>
          </w:tcPr>
          <w:p w14:paraId="7571FF77">
            <w:pPr>
              <w:spacing w:line="460" w:lineRule="exact"/>
              <w:jc w:val="center"/>
              <w:rPr>
                <w:rFonts w:ascii="宋体" w:hAnsi="宋体"/>
                <w:b/>
                <w:szCs w:val="20"/>
              </w:rPr>
            </w:pPr>
            <w:r>
              <w:rPr>
                <w:rFonts w:hint="eastAsia" w:ascii="宋体" w:hAnsi="宋体"/>
                <w:b/>
                <w:szCs w:val="20"/>
              </w:rPr>
              <w:t>见技术协议</w:t>
            </w:r>
          </w:p>
        </w:tc>
        <w:tc>
          <w:tcPr>
            <w:tcW w:w="1527" w:type="dxa"/>
            <w:vAlign w:val="center"/>
          </w:tcPr>
          <w:p w14:paraId="51FA3095">
            <w:pPr>
              <w:spacing w:line="460" w:lineRule="exact"/>
              <w:jc w:val="center"/>
              <w:rPr>
                <w:rFonts w:ascii="宋体" w:hAnsi="宋体"/>
                <w:b/>
                <w:szCs w:val="20"/>
              </w:rPr>
            </w:pPr>
            <w:r>
              <w:rPr>
                <w:rFonts w:hint="eastAsia" w:ascii="宋体" w:hAnsi="宋体"/>
                <w:b/>
                <w:szCs w:val="20"/>
              </w:rPr>
              <w:t>可控硅整流器</w:t>
            </w:r>
          </w:p>
        </w:tc>
      </w:tr>
      <w:tr w14:paraId="42ED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2759E0B5">
            <w:pPr>
              <w:spacing w:line="460" w:lineRule="exact"/>
              <w:jc w:val="center"/>
              <w:rPr>
                <w:rFonts w:ascii="宋体" w:hAnsi="宋体"/>
                <w:b/>
                <w:szCs w:val="20"/>
              </w:rPr>
            </w:pPr>
            <w:r>
              <w:rPr>
                <w:rFonts w:hint="eastAsia" w:ascii="宋体" w:hAnsi="宋体"/>
                <w:b/>
                <w:szCs w:val="20"/>
              </w:rPr>
              <w:t>2</w:t>
            </w:r>
          </w:p>
        </w:tc>
        <w:tc>
          <w:tcPr>
            <w:tcW w:w="2083" w:type="dxa"/>
            <w:vAlign w:val="center"/>
          </w:tcPr>
          <w:p w14:paraId="2F6968F8">
            <w:pPr>
              <w:spacing w:line="460" w:lineRule="exact"/>
              <w:jc w:val="center"/>
              <w:rPr>
                <w:rFonts w:ascii="宋体" w:hAnsi="宋体"/>
                <w:b/>
                <w:szCs w:val="20"/>
              </w:rPr>
            </w:pPr>
            <w:r>
              <w:rPr>
                <w:rFonts w:hint="eastAsia" w:ascii="宋体" w:hAnsi="宋体"/>
                <w:b/>
                <w:szCs w:val="20"/>
              </w:rPr>
              <w:t>干接点信号板</w:t>
            </w:r>
          </w:p>
        </w:tc>
        <w:tc>
          <w:tcPr>
            <w:tcW w:w="2936" w:type="dxa"/>
            <w:vAlign w:val="center"/>
          </w:tcPr>
          <w:p w14:paraId="7314858A">
            <w:pPr>
              <w:spacing w:line="460" w:lineRule="exact"/>
              <w:jc w:val="center"/>
              <w:rPr>
                <w:rFonts w:ascii="宋体" w:hAnsi="宋体"/>
                <w:b/>
                <w:szCs w:val="20"/>
              </w:rPr>
            </w:pPr>
          </w:p>
        </w:tc>
        <w:tc>
          <w:tcPr>
            <w:tcW w:w="808" w:type="dxa"/>
            <w:vAlign w:val="center"/>
          </w:tcPr>
          <w:p w14:paraId="0BA06D59">
            <w:pPr>
              <w:spacing w:line="460" w:lineRule="exact"/>
              <w:jc w:val="center"/>
              <w:rPr>
                <w:rFonts w:ascii="宋体" w:hAnsi="宋体"/>
                <w:b/>
                <w:szCs w:val="20"/>
              </w:rPr>
            </w:pPr>
            <w:r>
              <w:rPr>
                <w:rFonts w:hint="eastAsia" w:ascii="宋体" w:hAnsi="宋体"/>
                <w:b/>
                <w:szCs w:val="20"/>
              </w:rPr>
              <w:t>2块</w:t>
            </w:r>
          </w:p>
        </w:tc>
        <w:tc>
          <w:tcPr>
            <w:tcW w:w="1985" w:type="dxa"/>
            <w:vAlign w:val="center"/>
          </w:tcPr>
          <w:p w14:paraId="15C12832">
            <w:pPr>
              <w:spacing w:line="460" w:lineRule="exact"/>
              <w:jc w:val="center"/>
              <w:rPr>
                <w:rFonts w:ascii="宋体" w:hAnsi="宋体"/>
                <w:b/>
                <w:szCs w:val="20"/>
              </w:rPr>
            </w:pPr>
          </w:p>
        </w:tc>
        <w:tc>
          <w:tcPr>
            <w:tcW w:w="1527" w:type="dxa"/>
            <w:vAlign w:val="center"/>
          </w:tcPr>
          <w:p w14:paraId="6DAA00A2">
            <w:pPr>
              <w:spacing w:line="460" w:lineRule="exact"/>
              <w:jc w:val="center"/>
              <w:rPr>
                <w:rFonts w:ascii="宋体" w:hAnsi="宋体"/>
                <w:b/>
                <w:szCs w:val="20"/>
              </w:rPr>
            </w:pPr>
          </w:p>
        </w:tc>
      </w:tr>
      <w:tr w14:paraId="4AED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5284B07E">
            <w:pPr>
              <w:spacing w:line="460" w:lineRule="exact"/>
              <w:jc w:val="center"/>
              <w:rPr>
                <w:rFonts w:ascii="宋体" w:hAnsi="宋体"/>
                <w:b/>
                <w:szCs w:val="20"/>
              </w:rPr>
            </w:pPr>
            <w:r>
              <w:rPr>
                <w:rFonts w:hint="eastAsia" w:ascii="宋体" w:hAnsi="宋体"/>
                <w:b/>
                <w:szCs w:val="20"/>
              </w:rPr>
              <w:t>3</w:t>
            </w:r>
          </w:p>
        </w:tc>
        <w:tc>
          <w:tcPr>
            <w:tcW w:w="2083" w:type="dxa"/>
            <w:vAlign w:val="center"/>
          </w:tcPr>
          <w:p w14:paraId="1F945159">
            <w:pPr>
              <w:spacing w:line="460" w:lineRule="exact"/>
              <w:jc w:val="center"/>
              <w:rPr>
                <w:rFonts w:ascii="宋体" w:hAnsi="宋体"/>
                <w:b/>
                <w:szCs w:val="20"/>
              </w:rPr>
            </w:pPr>
            <w:r>
              <w:rPr>
                <w:rFonts w:hint="eastAsia" w:ascii="宋体" w:hAnsi="宋体"/>
                <w:b/>
                <w:szCs w:val="20"/>
              </w:rPr>
              <w:t>通信接口板及软件</w:t>
            </w:r>
          </w:p>
        </w:tc>
        <w:tc>
          <w:tcPr>
            <w:tcW w:w="2936" w:type="dxa"/>
            <w:vAlign w:val="center"/>
          </w:tcPr>
          <w:p w14:paraId="4F9D0FBA">
            <w:pPr>
              <w:spacing w:line="460" w:lineRule="exact"/>
              <w:jc w:val="center"/>
              <w:rPr>
                <w:rFonts w:ascii="宋体" w:hAnsi="宋体"/>
                <w:b/>
                <w:szCs w:val="20"/>
              </w:rPr>
            </w:pPr>
          </w:p>
        </w:tc>
        <w:tc>
          <w:tcPr>
            <w:tcW w:w="808" w:type="dxa"/>
            <w:vAlign w:val="center"/>
          </w:tcPr>
          <w:p w14:paraId="61B7C47E">
            <w:pPr>
              <w:spacing w:line="460" w:lineRule="exact"/>
              <w:jc w:val="center"/>
              <w:rPr>
                <w:rFonts w:ascii="宋体" w:hAnsi="宋体"/>
                <w:b/>
                <w:szCs w:val="20"/>
              </w:rPr>
            </w:pPr>
            <w:r>
              <w:rPr>
                <w:rFonts w:hint="eastAsia" w:ascii="宋体" w:hAnsi="宋体"/>
                <w:b/>
                <w:szCs w:val="20"/>
              </w:rPr>
              <w:t>2块</w:t>
            </w:r>
          </w:p>
        </w:tc>
        <w:tc>
          <w:tcPr>
            <w:tcW w:w="1985" w:type="dxa"/>
            <w:vAlign w:val="center"/>
          </w:tcPr>
          <w:p w14:paraId="6522F3E0">
            <w:pPr>
              <w:spacing w:line="460" w:lineRule="exact"/>
              <w:jc w:val="center"/>
              <w:rPr>
                <w:rFonts w:ascii="宋体" w:hAnsi="宋体"/>
                <w:b/>
                <w:szCs w:val="20"/>
              </w:rPr>
            </w:pPr>
          </w:p>
        </w:tc>
        <w:tc>
          <w:tcPr>
            <w:tcW w:w="1527" w:type="dxa"/>
            <w:vAlign w:val="center"/>
          </w:tcPr>
          <w:p w14:paraId="583EBE0D">
            <w:pPr>
              <w:spacing w:line="460" w:lineRule="exact"/>
              <w:jc w:val="center"/>
              <w:rPr>
                <w:rFonts w:ascii="宋体" w:hAnsi="宋体"/>
                <w:b/>
                <w:szCs w:val="20"/>
              </w:rPr>
            </w:pPr>
          </w:p>
        </w:tc>
      </w:tr>
      <w:tr w14:paraId="46B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17794119">
            <w:pPr>
              <w:spacing w:line="460" w:lineRule="exact"/>
              <w:jc w:val="center"/>
              <w:rPr>
                <w:rFonts w:ascii="宋体" w:hAnsi="宋体"/>
                <w:b/>
                <w:szCs w:val="20"/>
              </w:rPr>
            </w:pPr>
            <w:r>
              <w:rPr>
                <w:rFonts w:hint="eastAsia" w:ascii="宋体" w:hAnsi="宋体"/>
                <w:b/>
                <w:szCs w:val="20"/>
              </w:rPr>
              <w:t>4</w:t>
            </w:r>
          </w:p>
        </w:tc>
        <w:tc>
          <w:tcPr>
            <w:tcW w:w="2083" w:type="dxa"/>
            <w:vAlign w:val="center"/>
          </w:tcPr>
          <w:p w14:paraId="0A0FCD7F">
            <w:pPr>
              <w:spacing w:line="460" w:lineRule="exact"/>
              <w:jc w:val="center"/>
              <w:rPr>
                <w:rFonts w:ascii="宋体" w:hAnsi="宋体"/>
                <w:b/>
                <w:szCs w:val="20"/>
              </w:rPr>
            </w:pPr>
            <w:r>
              <w:rPr>
                <w:rFonts w:hint="eastAsia" w:ascii="宋体" w:hAnsi="宋体"/>
                <w:b/>
                <w:szCs w:val="20"/>
              </w:rPr>
              <w:t>旁路隔离变压器</w:t>
            </w:r>
          </w:p>
          <w:p w14:paraId="294BBFDF">
            <w:pPr>
              <w:spacing w:line="460" w:lineRule="exact"/>
              <w:jc w:val="center"/>
              <w:rPr>
                <w:rFonts w:ascii="宋体" w:hAnsi="宋体"/>
                <w:b/>
                <w:szCs w:val="20"/>
              </w:rPr>
            </w:pPr>
            <w:r>
              <w:rPr>
                <w:rFonts w:hint="eastAsia" w:ascii="宋体" w:hAnsi="宋体"/>
                <w:b/>
                <w:szCs w:val="20"/>
              </w:rPr>
              <w:t>稳压器及馈线柜</w:t>
            </w:r>
          </w:p>
        </w:tc>
        <w:tc>
          <w:tcPr>
            <w:tcW w:w="2936" w:type="dxa"/>
            <w:vAlign w:val="center"/>
          </w:tcPr>
          <w:p w14:paraId="75BDAC33">
            <w:pPr>
              <w:spacing w:line="460" w:lineRule="exact"/>
              <w:jc w:val="center"/>
              <w:rPr>
                <w:rFonts w:ascii="宋体" w:hAnsi="宋体"/>
                <w:b/>
                <w:szCs w:val="20"/>
              </w:rPr>
            </w:pPr>
          </w:p>
        </w:tc>
        <w:tc>
          <w:tcPr>
            <w:tcW w:w="808" w:type="dxa"/>
            <w:vAlign w:val="center"/>
          </w:tcPr>
          <w:p w14:paraId="5DBB5CF3">
            <w:pPr>
              <w:spacing w:line="460" w:lineRule="exact"/>
              <w:jc w:val="center"/>
              <w:rPr>
                <w:rFonts w:ascii="宋体" w:hAnsi="宋体"/>
                <w:b/>
                <w:szCs w:val="20"/>
              </w:rPr>
            </w:pPr>
            <w:r>
              <w:rPr>
                <w:rFonts w:hint="eastAsia" w:ascii="宋体" w:hAnsi="宋体"/>
                <w:b/>
                <w:szCs w:val="20"/>
              </w:rPr>
              <w:t>12套</w:t>
            </w:r>
          </w:p>
        </w:tc>
        <w:tc>
          <w:tcPr>
            <w:tcW w:w="1985" w:type="dxa"/>
            <w:vAlign w:val="center"/>
          </w:tcPr>
          <w:p w14:paraId="5257181E">
            <w:pPr>
              <w:spacing w:line="460" w:lineRule="exact"/>
              <w:jc w:val="center"/>
              <w:rPr>
                <w:rFonts w:ascii="宋体" w:hAnsi="宋体"/>
                <w:b/>
                <w:szCs w:val="20"/>
              </w:rPr>
            </w:pPr>
          </w:p>
        </w:tc>
        <w:tc>
          <w:tcPr>
            <w:tcW w:w="1527" w:type="dxa"/>
            <w:vAlign w:val="center"/>
          </w:tcPr>
          <w:p w14:paraId="01222617">
            <w:pPr>
              <w:spacing w:line="460" w:lineRule="exact"/>
              <w:jc w:val="center"/>
              <w:rPr>
                <w:rFonts w:ascii="宋体" w:hAnsi="宋体"/>
                <w:b/>
                <w:szCs w:val="20"/>
              </w:rPr>
            </w:pPr>
            <w:r>
              <w:rPr>
                <w:rFonts w:hint="eastAsia" w:ascii="宋体" w:hAnsi="宋体"/>
                <w:b/>
                <w:szCs w:val="20"/>
              </w:rPr>
              <w:t>6路馈线</w:t>
            </w:r>
            <w:bookmarkStart w:id="30" w:name="_GoBack"/>
            <w:r>
              <w:rPr>
                <w:rFonts w:hint="eastAsia" w:ascii="宋体" w:hAnsi="宋体"/>
                <w:b/>
                <w:szCs w:val="20"/>
              </w:rPr>
              <w:t>输出</w:t>
            </w:r>
            <w:bookmarkEnd w:id="30"/>
          </w:p>
        </w:tc>
      </w:tr>
      <w:tr w14:paraId="139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56C2B71E">
            <w:pPr>
              <w:spacing w:line="460" w:lineRule="exact"/>
              <w:jc w:val="center"/>
              <w:rPr>
                <w:rFonts w:ascii="宋体" w:hAnsi="宋体"/>
                <w:b/>
                <w:szCs w:val="20"/>
              </w:rPr>
            </w:pPr>
            <w:r>
              <w:rPr>
                <w:rFonts w:hint="eastAsia" w:ascii="宋体" w:hAnsi="宋体"/>
                <w:b/>
                <w:szCs w:val="20"/>
              </w:rPr>
              <w:t>5</w:t>
            </w:r>
          </w:p>
        </w:tc>
        <w:tc>
          <w:tcPr>
            <w:tcW w:w="2083" w:type="dxa"/>
            <w:vAlign w:val="center"/>
          </w:tcPr>
          <w:p w14:paraId="464FEBCA">
            <w:pPr>
              <w:spacing w:line="460" w:lineRule="exact"/>
              <w:jc w:val="center"/>
              <w:rPr>
                <w:rFonts w:ascii="宋体" w:hAnsi="宋体"/>
                <w:b/>
                <w:szCs w:val="20"/>
              </w:rPr>
            </w:pPr>
            <w:r>
              <w:rPr>
                <w:rFonts w:hint="eastAsia" w:ascii="宋体" w:hAnsi="宋体"/>
                <w:b/>
                <w:szCs w:val="20"/>
              </w:rPr>
              <w:t>德克、阳光或荷贝克电池组</w:t>
            </w:r>
          </w:p>
        </w:tc>
        <w:tc>
          <w:tcPr>
            <w:tcW w:w="2936" w:type="dxa"/>
            <w:vAlign w:val="center"/>
          </w:tcPr>
          <w:p w14:paraId="4B8D9806">
            <w:pPr>
              <w:keepNext/>
              <w:spacing w:line="460" w:lineRule="exact"/>
              <w:jc w:val="center"/>
              <w:outlineLvl w:val="0"/>
              <w:rPr>
                <w:rFonts w:ascii="宋体" w:hAnsi="宋体"/>
                <w:b/>
                <w:szCs w:val="20"/>
              </w:rPr>
            </w:pPr>
          </w:p>
        </w:tc>
        <w:tc>
          <w:tcPr>
            <w:tcW w:w="808" w:type="dxa"/>
            <w:vAlign w:val="center"/>
          </w:tcPr>
          <w:p w14:paraId="408C990D">
            <w:pPr>
              <w:spacing w:line="460" w:lineRule="exact"/>
              <w:jc w:val="center"/>
              <w:rPr>
                <w:rFonts w:ascii="宋体" w:hAnsi="宋体"/>
                <w:b/>
                <w:szCs w:val="20"/>
              </w:rPr>
            </w:pPr>
            <w:r>
              <w:rPr>
                <w:rFonts w:hint="eastAsia" w:ascii="宋体" w:hAnsi="宋体"/>
                <w:b/>
                <w:szCs w:val="20"/>
              </w:rPr>
              <w:t>2套</w:t>
            </w:r>
          </w:p>
        </w:tc>
        <w:tc>
          <w:tcPr>
            <w:tcW w:w="1985" w:type="dxa"/>
            <w:vAlign w:val="center"/>
          </w:tcPr>
          <w:p w14:paraId="46DA46AA">
            <w:pPr>
              <w:spacing w:line="460" w:lineRule="exact"/>
              <w:jc w:val="center"/>
              <w:rPr>
                <w:rFonts w:ascii="宋体" w:hAnsi="宋体"/>
                <w:b/>
                <w:szCs w:val="20"/>
              </w:rPr>
            </w:pPr>
          </w:p>
        </w:tc>
        <w:tc>
          <w:tcPr>
            <w:tcW w:w="1527" w:type="dxa"/>
            <w:vAlign w:val="center"/>
          </w:tcPr>
          <w:p w14:paraId="475348B0">
            <w:pPr>
              <w:spacing w:line="460" w:lineRule="exact"/>
              <w:jc w:val="center"/>
              <w:rPr>
                <w:rFonts w:ascii="宋体" w:hAnsi="宋体"/>
                <w:b/>
                <w:szCs w:val="20"/>
              </w:rPr>
            </w:pPr>
            <w:r>
              <w:rPr>
                <w:rFonts w:hint="eastAsia" w:ascii="宋体" w:hAnsi="宋体"/>
                <w:b/>
                <w:szCs w:val="20"/>
              </w:rPr>
              <w:t>满载一小时</w:t>
            </w:r>
          </w:p>
        </w:tc>
      </w:tr>
      <w:tr w14:paraId="5ECB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7F43A32C">
            <w:pPr>
              <w:spacing w:line="460" w:lineRule="exact"/>
              <w:jc w:val="center"/>
              <w:rPr>
                <w:rFonts w:ascii="宋体" w:hAnsi="宋体"/>
                <w:b/>
                <w:szCs w:val="20"/>
              </w:rPr>
            </w:pPr>
            <w:r>
              <w:rPr>
                <w:rFonts w:hint="eastAsia" w:ascii="宋体" w:hAnsi="宋体"/>
                <w:b/>
                <w:szCs w:val="20"/>
              </w:rPr>
              <w:t>6</w:t>
            </w:r>
          </w:p>
        </w:tc>
        <w:tc>
          <w:tcPr>
            <w:tcW w:w="2083" w:type="dxa"/>
            <w:vAlign w:val="center"/>
          </w:tcPr>
          <w:p w14:paraId="4E6F7D82">
            <w:pPr>
              <w:spacing w:line="460" w:lineRule="exact"/>
              <w:jc w:val="center"/>
              <w:rPr>
                <w:rFonts w:ascii="宋体" w:hAnsi="宋体"/>
                <w:b/>
                <w:szCs w:val="20"/>
              </w:rPr>
            </w:pPr>
            <w:r>
              <w:rPr>
                <w:rFonts w:hint="eastAsia" w:ascii="宋体" w:hAnsi="宋体"/>
                <w:b/>
                <w:szCs w:val="20"/>
              </w:rPr>
              <w:t>电池柜及附件</w:t>
            </w:r>
          </w:p>
        </w:tc>
        <w:tc>
          <w:tcPr>
            <w:tcW w:w="2936" w:type="dxa"/>
            <w:vAlign w:val="center"/>
          </w:tcPr>
          <w:p w14:paraId="2185B04E">
            <w:pPr>
              <w:spacing w:line="460" w:lineRule="exact"/>
              <w:jc w:val="center"/>
              <w:rPr>
                <w:rFonts w:ascii="宋体" w:hAnsi="宋体"/>
                <w:b/>
                <w:szCs w:val="20"/>
              </w:rPr>
            </w:pPr>
          </w:p>
        </w:tc>
        <w:tc>
          <w:tcPr>
            <w:tcW w:w="808" w:type="dxa"/>
            <w:vAlign w:val="center"/>
          </w:tcPr>
          <w:p w14:paraId="1B2FC476">
            <w:pPr>
              <w:spacing w:line="460" w:lineRule="exact"/>
              <w:jc w:val="center"/>
              <w:rPr>
                <w:rFonts w:ascii="宋体" w:hAnsi="宋体"/>
                <w:b/>
                <w:szCs w:val="20"/>
              </w:rPr>
            </w:pPr>
            <w:r>
              <w:rPr>
                <w:rFonts w:hint="eastAsia" w:ascii="宋体" w:hAnsi="宋体"/>
                <w:b/>
                <w:szCs w:val="20"/>
              </w:rPr>
              <w:t>2套</w:t>
            </w:r>
          </w:p>
        </w:tc>
        <w:tc>
          <w:tcPr>
            <w:tcW w:w="1985" w:type="dxa"/>
            <w:vAlign w:val="center"/>
          </w:tcPr>
          <w:p w14:paraId="343F4359">
            <w:pPr>
              <w:spacing w:line="460" w:lineRule="exact"/>
              <w:jc w:val="center"/>
              <w:rPr>
                <w:rFonts w:ascii="宋体" w:hAnsi="宋体"/>
                <w:b/>
                <w:szCs w:val="20"/>
              </w:rPr>
            </w:pPr>
          </w:p>
        </w:tc>
        <w:tc>
          <w:tcPr>
            <w:tcW w:w="1527" w:type="dxa"/>
            <w:vAlign w:val="center"/>
          </w:tcPr>
          <w:p w14:paraId="5B10EFDD">
            <w:pPr>
              <w:spacing w:line="460" w:lineRule="exact"/>
              <w:jc w:val="center"/>
              <w:rPr>
                <w:rFonts w:ascii="宋体" w:hAnsi="宋体"/>
                <w:b/>
                <w:szCs w:val="20"/>
              </w:rPr>
            </w:pPr>
          </w:p>
        </w:tc>
      </w:tr>
      <w:tr w14:paraId="604D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center"/>
          </w:tcPr>
          <w:p w14:paraId="528C1C74">
            <w:pPr>
              <w:spacing w:line="460" w:lineRule="exact"/>
              <w:jc w:val="center"/>
              <w:rPr>
                <w:rFonts w:ascii="宋体" w:hAnsi="宋体"/>
                <w:b/>
                <w:szCs w:val="20"/>
              </w:rPr>
            </w:pPr>
            <w:r>
              <w:rPr>
                <w:rFonts w:hint="eastAsia" w:ascii="宋体" w:hAnsi="宋体"/>
                <w:b/>
                <w:szCs w:val="20"/>
              </w:rPr>
              <w:t>7</w:t>
            </w:r>
          </w:p>
        </w:tc>
        <w:tc>
          <w:tcPr>
            <w:tcW w:w="2083" w:type="dxa"/>
            <w:vAlign w:val="center"/>
          </w:tcPr>
          <w:p w14:paraId="396502AA">
            <w:pPr>
              <w:spacing w:line="460" w:lineRule="exact"/>
              <w:jc w:val="center"/>
              <w:rPr>
                <w:rFonts w:ascii="宋体" w:hAnsi="宋体"/>
                <w:b/>
                <w:szCs w:val="20"/>
              </w:rPr>
            </w:pPr>
            <w:r>
              <w:rPr>
                <w:rFonts w:hint="eastAsia" w:ascii="宋体" w:hAnsi="宋体"/>
                <w:b/>
                <w:szCs w:val="20"/>
              </w:rPr>
              <w:t>电池巡检仪</w:t>
            </w:r>
          </w:p>
        </w:tc>
        <w:tc>
          <w:tcPr>
            <w:tcW w:w="2936" w:type="dxa"/>
            <w:vAlign w:val="center"/>
          </w:tcPr>
          <w:p w14:paraId="78968B2C">
            <w:pPr>
              <w:spacing w:line="460" w:lineRule="exact"/>
              <w:jc w:val="center"/>
              <w:rPr>
                <w:rFonts w:ascii="宋体" w:hAnsi="宋体"/>
                <w:b/>
                <w:szCs w:val="20"/>
              </w:rPr>
            </w:pPr>
          </w:p>
        </w:tc>
        <w:tc>
          <w:tcPr>
            <w:tcW w:w="808" w:type="dxa"/>
            <w:vAlign w:val="center"/>
          </w:tcPr>
          <w:p w14:paraId="02347C89">
            <w:pPr>
              <w:spacing w:line="460" w:lineRule="exact"/>
              <w:jc w:val="center"/>
              <w:rPr>
                <w:rFonts w:ascii="宋体" w:hAnsi="宋体"/>
                <w:b/>
                <w:szCs w:val="20"/>
              </w:rPr>
            </w:pPr>
            <w:r>
              <w:rPr>
                <w:rFonts w:hint="eastAsia" w:ascii="宋体" w:hAnsi="宋体"/>
                <w:b/>
                <w:szCs w:val="20"/>
              </w:rPr>
              <w:t>2套</w:t>
            </w:r>
          </w:p>
        </w:tc>
        <w:tc>
          <w:tcPr>
            <w:tcW w:w="1985" w:type="dxa"/>
            <w:vAlign w:val="center"/>
          </w:tcPr>
          <w:p w14:paraId="574135DC">
            <w:pPr>
              <w:spacing w:line="460" w:lineRule="exact"/>
              <w:jc w:val="center"/>
              <w:rPr>
                <w:rFonts w:ascii="宋体" w:hAnsi="宋体"/>
                <w:b/>
                <w:szCs w:val="20"/>
              </w:rPr>
            </w:pPr>
          </w:p>
        </w:tc>
        <w:tc>
          <w:tcPr>
            <w:tcW w:w="1527" w:type="dxa"/>
            <w:vAlign w:val="center"/>
          </w:tcPr>
          <w:p w14:paraId="549AA1D6">
            <w:pPr>
              <w:spacing w:line="460" w:lineRule="exact"/>
              <w:jc w:val="center"/>
              <w:rPr>
                <w:rFonts w:ascii="宋体" w:hAnsi="宋体"/>
                <w:b/>
                <w:szCs w:val="20"/>
              </w:rPr>
            </w:pPr>
          </w:p>
        </w:tc>
      </w:tr>
    </w:tbl>
    <w:p w14:paraId="607B85F4">
      <w:pPr>
        <w:rPr>
          <w:rFonts w:ascii="黑体" w:hAnsi="黑体" w:eastAsia="黑体"/>
          <w:sz w:val="34"/>
          <w:szCs w:val="3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liZjg0NzU3OWNiOTliNzFkY2NmNDkzOTZkMjY3MzUifQ=="/>
  </w:docVars>
  <w:rsids>
    <w:rsidRoot w:val="00020749"/>
    <w:rsid w:val="00020749"/>
    <w:rsid w:val="000405C6"/>
    <w:rsid w:val="000454C4"/>
    <w:rsid w:val="0007613C"/>
    <w:rsid w:val="000826D0"/>
    <w:rsid w:val="000A1662"/>
    <w:rsid w:val="000A263E"/>
    <w:rsid w:val="000F65F8"/>
    <w:rsid w:val="001224B5"/>
    <w:rsid w:val="001414C2"/>
    <w:rsid w:val="00160710"/>
    <w:rsid w:val="001B469E"/>
    <w:rsid w:val="001E34A0"/>
    <w:rsid w:val="001E7416"/>
    <w:rsid w:val="0022133E"/>
    <w:rsid w:val="00226DA8"/>
    <w:rsid w:val="00233B04"/>
    <w:rsid w:val="00240997"/>
    <w:rsid w:val="00243C6E"/>
    <w:rsid w:val="00245576"/>
    <w:rsid w:val="00250B1F"/>
    <w:rsid w:val="00250CE2"/>
    <w:rsid w:val="00257661"/>
    <w:rsid w:val="00263484"/>
    <w:rsid w:val="0026701C"/>
    <w:rsid w:val="00280E16"/>
    <w:rsid w:val="00294DD0"/>
    <w:rsid w:val="002965AD"/>
    <w:rsid w:val="002A705C"/>
    <w:rsid w:val="002E199D"/>
    <w:rsid w:val="00305B11"/>
    <w:rsid w:val="0031102B"/>
    <w:rsid w:val="00316116"/>
    <w:rsid w:val="00350781"/>
    <w:rsid w:val="003757E0"/>
    <w:rsid w:val="00385D6B"/>
    <w:rsid w:val="00393ACB"/>
    <w:rsid w:val="003B4BFB"/>
    <w:rsid w:val="003C7AE2"/>
    <w:rsid w:val="003D402C"/>
    <w:rsid w:val="00410CF1"/>
    <w:rsid w:val="0041538F"/>
    <w:rsid w:val="004257F6"/>
    <w:rsid w:val="004412E5"/>
    <w:rsid w:val="00447103"/>
    <w:rsid w:val="004922A1"/>
    <w:rsid w:val="004A5432"/>
    <w:rsid w:val="004B425F"/>
    <w:rsid w:val="004C0DDF"/>
    <w:rsid w:val="004C1F04"/>
    <w:rsid w:val="004C6407"/>
    <w:rsid w:val="004F2ECF"/>
    <w:rsid w:val="004F7940"/>
    <w:rsid w:val="005066EA"/>
    <w:rsid w:val="005146DC"/>
    <w:rsid w:val="00521491"/>
    <w:rsid w:val="005258EA"/>
    <w:rsid w:val="0055428E"/>
    <w:rsid w:val="005665F5"/>
    <w:rsid w:val="0057651C"/>
    <w:rsid w:val="005802A1"/>
    <w:rsid w:val="005835A2"/>
    <w:rsid w:val="00592DBB"/>
    <w:rsid w:val="005C63BE"/>
    <w:rsid w:val="006152B7"/>
    <w:rsid w:val="00622E1F"/>
    <w:rsid w:val="00630AE5"/>
    <w:rsid w:val="00644973"/>
    <w:rsid w:val="00676D12"/>
    <w:rsid w:val="00695C61"/>
    <w:rsid w:val="006B4F93"/>
    <w:rsid w:val="006C2607"/>
    <w:rsid w:val="006D0C0F"/>
    <w:rsid w:val="006E2893"/>
    <w:rsid w:val="006F2642"/>
    <w:rsid w:val="00722D1C"/>
    <w:rsid w:val="00727A29"/>
    <w:rsid w:val="0073731D"/>
    <w:rsid w:val="00771028"/>
    <w:rsid w:val="007841B5"/>
    <w:rsid w:val="00787250"/>
    <w:rsid w:val="00796BE8"/>
    <w:rsid w:val="00797274"/>
    <w:rsid w:val="007B3F74"/>
    <w:rsid w:val="007B5C69"/>
    <w:rsid w:val="007E4AEC"/>
    <w:rsid w:val="0080063A"/>
    <w:rsid w:val="00831732"/>
    <w:rsid w:val="008353F1"/>
    <w:rsid w:val="008902ED"/>
    <w:rsid w:val="008B30E7"/>
    <w:rsid w:val="008F4AF0"/>
    <w:rsid w:val="0092027B"/>
    <w:rsid w:val="00925873"/>
    <w:rsid w:val="00973285"/>
    <w:rsid w:val="00973460"/>
    <w:rsid w:val="00987274"/>
    <w:rsid w:val="009923AA"/>
    <w:rsid w:val="009971EE"/>
    <w:rsid w:val="009A5488"/>
    <w:rsid w:val="009A5693"/>
    <w:rsid w:val="009B1B41"/>
    <w:rsid w:val="00A257FF"/>
    <w:rsid w:val="00A30688"/>
    <w:rsid w:val="00A55F87"/>
    <w:rsid w:val="00A57074"/>
    <w:rsid w:val="00A573D1"/>
    <w:rsid w:val="00A722ED"/>
    <w:rsid w:val="00A81F1C"/>
    <w:rsid w:val="00A9176F"/>
    <w:rsid w:val="00AA3F7E"/>
    <w:rsid w:val="00AA715B"/>
    <w:rsid w:val="00AA7245"/>
    <w:rsid w:val="00AB4FEB"/>
    <w:rsid w:val="00AC3E8F"/>
    <w:rsid w:val="00AD598B"/>
    <w:rsid w:val="00AE0B04"/>
    <w:rsid w:val="00AF0018"/>
    <w:rsid w:val="00B138E9"/>
    <w:rsid w:val="00B2562B"/>
    <w:rsid w:val="00B35B3C"/>
    <w:rsid w:val="00B47FF3"/>
    <w:rsid w:val="00B516E3"/>
    <w:rsid w:val="00B74FCE"/>
    <w:rsid w:val="00B937F5"/>
    <w:rsid w:val="00BA0CA0"/>
    <w:rsid w:val="00BB4C93"/>
    <w:rsid w:val="00BD01CA"/>
    <w:rsid w:val="00BE6087"/>
    <w:rsid w:val="00BE61D6"/>
    <w:rsid w:val="00C0064D"/>
    <w:rsid w:val="00C245F7"/>
    <w:rsid w:val="00C31ECF"/>
    <w:rsid w:val="00C445AC"/>
    <w:rsid w:val="00C563F4"/>
    <w:rsid w:val="00C62CEC"/>
    <w:rsid w:val="00CA08FC"/>
    <w:rsid w:val="00CA09ED"/>
    <w:rsid w:val="00CA2D7A"/>
    <w:rsid w:val="00CA549D"/>
    <w:rsid w:val="00CC6B7F"/>
    <w:rsid w:val="00CF3706"/>
    <w:rsid w:val="00CF3CA6"/>
    <w:rsid w:val="00CF59BA"/>
    <w:rsid w:val="00CF5A4B"/>
    <w:rsid w:val="00CF6F7E"/>
    <w:rsid w:val="00CF7FF0"/>
    <w:rsid w:val="00D01432"/>
    <w:rsid w:val="00D11103"/>
    <w:rsid w:val="00D41D64"/>
    <w:rsid w:val="00D4232B"/>
    <w:rsid w:val="00D4320A"/>
    <w:rsid w:val="00D45DB6"/>
    <w:rsid w:val="00D73D99"/>
    <w:rsid w:val="00D85FB7"/>
    <w:rsid w:val="00D8609B"/>
    <w:rsid w:val="00D9380B"/>
    <w:rsid w:val="00D95992"/>
    <w:rsid w:val="00D97E8E"/>
    <w:rsid w:val="00DA310D"/>
    <w:rsid w:val="00DB21C2"/>
    <w:rsid w:val="00DE75B1"/>
    <w:rsid w:val="00E0066E"/>
    <w:rsid w:val="00E216FD"/>
    <w:rsid w:val="00E257BD"/>
    <w:rsid w:val="00E4335F"/>
    <w:rsid w:val="00E55304"/>
    <w:rsid w:val="00E7097C"/>
    <w:rsid w:val="00E71AFA"/>
    <w:rsid w:val="00E77E3D"/>
    <w:rsid w:val="00E824F3"/>
    <w:rsid w:val="00ED1C4F"/>
    <w:rsid w:val="00ED335B"/>
    <w:rsid w:val="00EE308E"/>
    <w:rsid w:val="00EF678C"/>
    <w:rsid w:val="00F03ACC"/>
    <w:rsid w:val="00F04684"/>
    <w:rsid w:val="00F06E1F"/>
    <w:rsid w:val="00F133F3"/>
    <w:rsid w:val="00F51F3A"/>
    <w:rsid w:val="00F74889"/>
    <w:rsid w:val="00F771CC"/>
    <w:rsid w:val="00F87653"/>
    <w:rsid w:val="00F900D5"/>
    <w:rsid w:val="00FA07A9"/>
    <w:rsid w:val="00FC0CFC"/>
    <w:rsid w:val="00FC5F0D"/>
    <w:rsid w:val="030E4CDF"/>
    <w:rsid w:val="035E47A1"/>
    <w:rsid w:val="072F5D98"/>
    <w:rsid w:val="086B76D3"/>
    <w:rsid w:val="0F2F1AE7"/>
    <w:rsid w:val="1659704F"/>
    <w:rsid w:val="18DA56D8"/>
    <w:rsid w:val="1FA45B7E"/>
    <w:rsid w:val="26635ED6"/>
    <w:rsid w:val="26BA4BF3"/>
    <w:rsid w:val="2855533A"/>
    <w:rsid w:val="2B991E44"/>
    <w:rsid w:val="34457057"/>
    <w:rsid w:val="35A970FA"/>
    <w:rsid w:val="3BCE3988"/>
    <w:rsid w:val="3C314553"/>
    <w:rsid w:val="40DE2175"/>
    <w:rsid w:val="4183246F"/>
    <w:rsid w:val="423529DD"/>
    <w:rsid w:val="42ED684B"/>
    <w:rsid w:val="475B7CC4"/>
    <w:rsid w:val="4C4D3F6D"/>
    <w:rsid w:val="50F1593B"/>
    <w:rsid w:val="56FF0A48"/>
    <w:rsid w:val="582B03E3"/>
    <w:rsid w:val="5AB248C8"/>
    <w:rsid w:val="5BBE156E"/>
    <w:rsid w:val="5D047455"/>
    <w:rsid w:val="5F407DEB"/>
    <w:rsid w:val="5FFD2D72"/>
    <w:rsid w:val="63E2369B"/>
    <w:rsid w:val="675C6D2B"/>
    <w:rsid w:val="6E5E0E69"/>
    <w:rsid w:val="6F5B4583"/>
    <w:rsid w:val="766878D1"/>
    <w:rsid w:val="7949798A"/>
    <w:rsid w:val="7C6804E2"/>
    <w:rsid w:val="7F1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58"/>
    </w:pPr>
    <w:rPr>
      <w:sz w:val="24"/>
      <w:szCs w:val="24"/>
    </w:rPr>
  </w:style>
  <w:style w:type="paragraph" w:styleId="3">
    <w:name w:val="Balloon Text"/>
    <w:basedOn w:val="1"/>
    <w:link w:val="16"/>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0"/>
    <w:rPr>
      <w:color w:val="CC0033"/>
    </w:rPr>
  </w:style>
  <w:style w:type="paragraph" w:customStyle="1" w:styleId="10">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1">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2">
    <w:name w:val="列出段落1"/>
    <w:basedOn w:val="1"/>
    <w:unhideWhenUsed/>
    <w:qFormat/>
    <w:uiPriority w:val="99"/>
    <w:pPr>
      <w:ind w:firstLine="420" w:firstLineChars="200"/>
    </w:pPr>
  </w:style>
  <w:style w:type="paragraph" w:customStyle="1" w:styleId="13">
    <w:name w:val="Table Paragraph"/>
    <w:basedOn w:val="1"/>
    <w:qFormat/>
    <w:uiPriority w:val="1"/>
    <w:pPr>
      <w:spacing w:before="73"/>
    </w:pPr>
  </w:style>
  <w:style w:type="character" w:customStyle="1" w:styleId="14">
    <w:name w:val="页眉 Char"/>
    <w:basedOn w:val="8"/>
    <w:link w:val="5"/>
    <w:qFormat/>
    <w:uiPriority w:val="0"/>
    <w:rPr>
      <w:kern w:val="2"/>
      <w:sz w:val="18"/>
      <w:szCs w:val="18"/>
    </w:rPr>
  </w:style>
  <w:style w:type="character" w:customStyle="1" w:styleId="15">
    <w:name w:val="页脚 Char"/>
    <w:basedOn w:val="8"/>
    <w:link w:val="4"/>
    <w:qFormat/>
    <w:uiPriority w:val="0"/>
    <w:rPr>
      <w:kern w:val="2"/>
      <w:sz w:val="18"/>
      <w:szCs w:val="18"/>
    </w:rPr>
  </w:style>
  <w:style w:type="character" w:customStyle="1" w:styleId="16">
    <w:name w:val="批注框文本 Char"/>
    <w:basedOn w:val="8"/>
    <w:link w:val="3"/>
    <w:qFormat/>
    <w:uiPriority w:val="0"/>
    <w:rPr>
      <w:kern w:val="2"/>
      <w:sz w:val="18"/>
      <w:szCs w:val="18"/>
    </w:rPr>
  </w:style>
  <w:style w:type="paragraph" w:customStyle="1" w:styleId="17">
    <w:name w:val="Char Char Char Char Char Char Char Char Char"/>
    <w:basedOn w:val="1"/>
    <w:qFormat/>
    <w:uiPriority w:val="0"/>
    <w:pPr>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3721</Words>
  <Characters>4299</Characters>
  <Lines>35</Lines>
  <Paragraphs>9</Paragraphs>
  <TotalTime>1</TotalTime>
  <ScaleCrop>false</ScaleCrop>
  <LinksUpToDate>false</LinksUpToDate>
  <CharactersWithSpaces>4628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2024-09-02T01:39:00Z</dcterms:created>
  <dc:creator>Administrator.BV88XMLU2OSR5FZ</dc:creator>
  <cp:lastModifiedBy>Mr.Z</cp:lastModifiedBy>
  <dcterms:modified xsi:type="dcterms:W3CDTF">2024-09-05T04:14:54Z</dcterms:modified>
  <dc:title>江苏索普化工股份有限公司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B12A4168E627486C8EFD9D703579B2FF_12</vt:lpwstr>
  </property>
</Properties>
</file>