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江苏索普化工股份有限公司</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lang w:val="en-US" w:eastAsia="zh-CN"/>
        </w:rPr>
        <w:t>高频开关直流屏</w:t>
      </w:r>
      <w:r>
        <w:rPr>
          <w:rFonts w:hint="eastAsia" w:ascii="方正小标宋简体" w:hAnsi="黑体" w:eastAsia="方正小标宋简体" w:cs="黑体"/>
          <w:sz w:val="44"/>
          <w:szCs w:val="44"/>
        </w:rPr>
        <w:t>技术协议</w:t>
      </w:r>
    </w:p>
    <w:p>
      <w:pPr>
        <w:spacing w:line="600" w:lineRule="exact"/>
        <w:jc w:val="center"/>
        <w:rPr>
          <w:rFonts w:ascii="宋体" w:hAnsi="宋体"/>
          <w:b/>
          <w:sz w:val="44"/>
          <w:szCs w:val="44"/>
        </w:rPr>
      </w:pPr>
    </w:p>
    <w:p>
      <w:pPr>
        <w:spacing w:line="600" w:lineRule="exact"/>
        <w:rPr>
          <w:rFonts w:hint="eastAsia" w:ascii="仿宋_GB2312" w:hAnsi="仿宋" w:eastAsia="仿宋_GB2312" w:cs="仿宋_GB2312"/>
          <w:sz w:val="34"/>
          <w:szCs w:val="34"/>
        </w:rPr>
      </w:pPr>
      <w:r>
        <w:rPr>
          <w:rFonts w:hint="eastAsia" w:ascii="仿宋_GB2312" w:hAnsi="仿宋" w:eastAsia="仿宋_GB2312" w:cs="仿宋_GB2312"/>
          <w:sz w:val="34"/>
          <w:szCs w:val="34"/>
        </w:rPr>
        <w:t>一、总则</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本技术规格书适用于江苏索普化工股份有限公司硫化</w:t>
      </w:r>
      <w:r>
        <w:rPr>
          <w:rFonts w:ascii="仿宋_GB2312" w:hAnsi="仿宋" w:eastAsia="仿宋_GB2312" w:cs="仿宋_GB2312"/>
          <w:sz w:val="34"/>
          <w:szCs w:val="34"/>
        </w:rPr>
        <w:t>事</w:t>
      </w:r>
      <w:r>
        <w:rPr>
          <w:rFonts w:hint="eastAsia" w:ascii="仿宋_GB2312" w:hAnsi="仿宋" w:eastAsia="仿宋_GB2312" w:cs="仿宋_GB2312"/>
          <w:sz w:val="34"/>
          <w:szCs w:val="34"/>
        </w:rPr>
        <w:t>业部</w:t>
      </w:r>
      <w:r>
        <w:rPr>
          <w:rFonts w:hint="eastAsia" w:ascii="仿宋_GB2312" w:hAnsi="仿宋" w:eastAsia="仿宋_GB2312" w:cs="仿宋_GB2312"/>
          <w:sz w:val="34"/>
          <w:szCs w:val="34"/>
          <w:lang w:val="en-US" w:eastAsia="zh-CN"/>
        </w:rPr>
        <w:t>微机高频开关直流屏</w:t>
      </w:r>
      <w:r>
        <w:rPr>
          <w:rFonts w:hint="eastAsia" w:ascii="仿宋_GB2312" w:hAnsi="仿宋" w:eastAsia="仿宋_GB2312" w:cs="仿宋_GB2312"/>
          <w:sz w:val="34"/>
          <w:szCs w:val="34"/>
        </w:rPr>
        <w:t>的设计、制造、采购和验收。本技术规格书提出的是最低限度的技术要求，并未对一切技术细节作出规定，也未充分引述有关标准和规范的条文。投标人应保证提供符合本技术规格书和有关国际标准、国家标准的高性能的优质产品。</w:t>
      </w:r>
    </w:p>
    <w:p>
      <w:pPr>
        <w:spacing w:line="600" w:lineRule="exact"/>
        <w:ind w:firstLine="680" w:firstLineChars="200"/>
        <w:rPr>
          <w:rFonts w:ascii="仿宋_GB2312" w:hAnsi="仿宋" w:eastAsia="仿宋_GB2312" w:cs="仿宋_GB2312"/>
          <w:sz w:val="34"/>
          <w:szCs w:val="34"/>
        </w:rPr>
      </w:pPr>
      <w:bookmarkStart w:id="0" w:name="_Toc137193788"/>
      <w:bookmarkStart w:id="1" w:name="_Toc137190318"/>
      <w:bookmarkStart w:id="2" w:name="_Toc137187752"/>
      <w:bookmarkStart w:id="3" w:name="_Toc137188124"/>
      <w:r>
        <w:rPr>
          <w:rFonts w:hint="eastAsia" w:ascii="仿宋_GB2312" w:hAnsi="仿宋" w:eastAsia="仿宋_GB2312" w:cs="仿宋_GB2312"/>
          <w:sz w:val="34"/>
          <w:szCs w:val="34"/>
        </w:rPr>
        <w:t>投标人应对本技术规格书中所列明的各项内容和要求逐项作出明确的响应，不能简单地应答满足或不满足。如不按本技术规格书的要求做出应答或所提供的资料不能满足要求，将承担被废标的风险。</w:t>
      </w:r>
      <w:bookmarkEnd w:id="0"/>
      <w:bookmarkEnd w:id="1"/>
      <w:bookmarkEnd w:id="2"/>
      <w:bookmarkEnd w:id="3"/>
    </w:p>
    <w:p>
      <w:pPr>
        <w:spacing w:line="600" w:lineRule="exact"/>
        <w:ind w:firstLine="680" w:firstLineChars="200"/>
        <w:rPr>
          <w:rFonts w:ascii="仿宋_GB2312" w:hAnsi="仿宋" w:eastAsia="仿宋_GB2312" w:cs="仿宋_GB2312"/>
          <w:sz w:val="34"/>
          <w:szCs w:val="34"/>
        </w:rPr>
      </w:pPr>
      <w:bookmarkStart w:id="4" w:name="_Toc137193789"/>
      <w:bookmarkStart w:id="5" w:name="_Toc137187753"/>
      <w:bookmarkStart w:id="6" w:name="_Toc137188125"/>
      <w:bookmarkStart w:id="7" w:name="_Toc137190319"/>
      <w:r>
        <w:rPr>
          <w:rFonts w:hint="eastAsia" w:ascii="仿宋_GB2312" w:hAnsi="仿宋" w:eastAsia="仿宋_GB2312" w:cs="仿宋_GB2312"/>
          <w:sz w:val="34"/>
          <w:szCs w:val="34"/>
        </w:rPr>
        <w:t>如果投标产品的技术性能、指标低于或不符合本技术规格书所提出的要求，应在投标文件的《技术规格偏离表》中作出明确的和详细的说明。</w:t>
      </w:r>
      <w:bookmarkEnd w:id="4"/>
      <w:bookmarkEnd w:id="5"/>
      <w:bookmarkEnd w:id="6"/>
      <w:bookmarkEnd w:id="7"/>
    </w:p>
    <w:p>
      <w:pPr>
        <w:spacing w:line="600" w:lineRule="exact"/>
        <w:ind w:firstLine="680" w:firstLineChars="200"/>
        <w:rPr>
          <w:rFonts w:ascii="仿宋_GB2312" w:hAnsi="仿宋" w:eastAsia="仿宋_GB2312" w:cs="仿宋_GB2312"/>
          <w:sz w:val="34"/>
          <w:szCs w:val="34"/>
        </w:rPr>
      </w:pPr>
      <w:bookmarkStart w:id="8" w:name="_Toc137193790"/>
      <w:bookmarkStart w:id="9" w:name="_Toc137190320"/>
      <w:bookmarkStart w:id="10" w:name="_Toc137187754"/>
      <w:bookmarkStart w:id="11" w:name="_Toc137188126"/>
      <w:r>
        <w:rPr>
          <w:rFonts w:hint="eastAsia" w:ascii="仿宋_GB2312" w:hAnsi="仿宋" w:eastAsia="仿宋_GB2312" w:cs="仿宋_GB2312"/>
          <w:sz w:val="34"/>
          <w:szCs w:val="34"/>
        </w:rPr>
        <w:t>如果投标人没有以书面形式对本技术规格书的条文提出异议，则意味着投标人提供的产品和服务完全符合本技术规格书的要求。如果招标方发现投标人对本技术规格书的响应不真实，投标人将</w:t>
      </w:r>
      <w:bookmarkEnd w:id="8"/>
      <w:bookmarkEnd w:id="9"/>
      <w:bookmarkEnd w:id="10"/>
      <w:bookmarkEnd w:id="11"/>
      <w:r>
        <w:rPr>
          <w:rFonts w:hint="eastAsia" w:ascii="仿宋_GB2312" w:hAnsi="仿宋" w:eastAsia="仿宋_GB2312" w:cs="仿宋_GB2312"/>
          <w:sz w:val="34"/>
          <w:szCs w:val="34"/>
        </w:rPr>
        <w:t>被废标或被取消中标资格，承担退货和赔偿招标方经济损失。</w:t>
      </w:r>
    </w:p>
    <w:p>
      <w:pPr>
        <w:spacing w:line="600" w:lineRule="exact"/>
        <w:ind w:firstLine="680" w:firstLineChars="200"/>
        <w:rPr>
          <w:rFonts w:ascii="仿宋_GB2312" w:hAnsi="仿宋" w:eastAsia="仿宋_GB2312" w:cs="仿宋_GB2312"/>
          <w:sz w:val="34"/>
          <w:szCs w:val="34"/>
        </w:rPr>
      </w:pPr>
      <w:bookmarkStart w:id="12" w:name="_Toc137193791"/>
      <w:bookmarkStart w:id="13" w:name="_Toc137190321"/>
      <w:bookmarkStart w:id="14" w:name="_Toc137187755"/>
      <w:bookmarkStart w:id="15" w:name="_Toc137188127"/>
      <w:r>
        <w:rPr>
          <w:rFonts w:hint="eastAsia" w:ascii="仿宋_GB2312" w:hAnsi="仿宋" w:eastAsia="仿宋_GB2312" w:cs="仿宋_GB2312"/>
          <w:sz w:val="34"/>
          <w:szCs w:val="34"/>
        </w:rPr>
        <w:t>投标人提供的技术文件中必须包括推荐产品的样本和</w:t>
      </w:r>
      <w:r>
        <w:rPr>
          <w:rFonts w:hint="eastAsia" w:ascii="仿宋_GB2312" w:hAnsi="仿宋" w:eastAsia="仿宋_GB2312" w:cs="仿宋_GB2312"/>
          <w:sz w:val="34"/>
          <w:szCs w:val="34"/>
          <w:lang w:val="en-US" w:eastAsia="zh-CN"/>
        </w:rPr>
        <w:t>微机高频开关直流屏</w:t>
      </w:r>
      <w:r>
        <w:rPr>
          <w:rFonts w:hint="eastAsia" w:ascii="仿宋_GB2312" w:hAnsi="仿宋" w:eastAsia="仿宋_GB2312" w:cs="仿宋_GB2312"/>
          <w:sz w:val="34"/>
          <w:szCs w:val="34"/>
        </w:rPr>
        <w:t>、蓄电池等主要产品的国家级测试报告。</w:t>
      </w:r>
      <w:bookmarkEnd w:id="12"/>
      <w:bookmarkEnd w:id="13"/>
      <w:bookmarkEnd w:id="14"/>
      <w:bookmarkEnd w:id="15"/>
    </w:p>
    <w:p>
      <w:pPr>
        <w:spacing w:line="600" w:lineRule="exact"/>
        <w:ind w:firstLine="680" w:firstLineChars="200"/>
        <w:rPr>
          <w:rFonts w:ascii="仿宋_GB2312" w:hAnsi="仿宋" w:eastAsia="仿宋_GB2312" w:cs="仿宋_GB2312"/>
          <w:sz w:val="34"/>
          <w:szCs w:val="34"/>
        </w:rPr>
      </w:pPr>
      <w:bookmarkStart w:id="16" w:name="_Toc137193792"/>
      <w:bookmarkStart w:id="17" w:name="_Toc137190322"/>
      <w:bookmarkStart w:id="18" w:name="_Toc137187756"/>
      <w:bookmarkStart w:id="19" w:name="_Toc137188128"/>
      <w:r>
        <w:rPr>
          <w:rFonts w:hint="eastAsia" w:ascii="仿宋_GB2312" w:hAnsi="仿宋" w:eastAsia="仿宋_GB2312" w:cs="仿宋_GB2312"/>
          <w:sz w:val="34"/>
          <w:szCs w:val="34"/>
        </w:rPr>
        <w:t>本技术规格书所引用的标准如与投标人所执行的标准发生矛盾时，应按较高的标准执行。</w:t>
      </w:r>
      <w:bookmarkEnd w:id="16"/>
      <w:bookmarkEnd w:id="17"/>
      <w:bookmarkEnd w:id="18"/>
      <w:bookmarkEnd w:id="19"/>
    </w:p>
    <w:p>
      <w:pPr>
        <w:spacing w:line="600" w:lineRule="exact"/>
        <w:ind w:firstLine="680" w:firstLineChars="200"/>
        <w:rPr>
          <w:rFonts w:ascii="仿宋_GB2312" w:hAnsi="仿宋" w:eastAsia="仿宋_GB2312" w:cs="仿宋_GB2312"/>
          <w:sz w:val="34"/>
          <w:szCs w:val="34"/>
        </w:rPr>
      </w:pPr>
      <w:bookmarkStart w:id="20" w:name="_Toc137188129"/>
      <w:bookmarkStart w:id="21" w:name="_Toc137190323"/>
      <w:bookmarkStart w:id="22" w:name="_Toc137193793"/>
      <w:bookmarkStart w:id="23" w:name="_Toc137187757"/>
      <w:r>
        <w:rPr>
          <w:rFonts w:hint="eastAsia" w:ascii="仿宋_GB2312" w:hAnsi="仿宋" w:eastAsia="仿宋_GB2312" w:cs="仿宋_GB2312"/>
          <w:sz w:val="34"/>
          <w:szCs w:val="34"/>
        </w:rPr>
        <w:t>投标人提供的一切文件资料均以中文叙述为准。</w:t>
      </w:r>
      <w:bookmarkEnd w:id="20"/>
      <w:bookmarkEnd w:id="21"/>
      <w:bookmarkEnd w:id="22"/>
      <w:bookmarkEnd w:id="23"/>
    </w:p>
    <w:p>
      <w:pPr>
        <w:spacing w:line="600" w:lineRule="exact"/>
        <w:rPr>
          <w:rFonts w:hint="eastAsia" w:ascii="仿宋_GB2312" w:hAnsi="仿宋" w:eastAsia="仿宋_GB2312" w:cs="仿宋_GB2312"/>
          <w:sz w:val="34"/>
          <w:szCs w:val="34"/>
        </w:rPr>
      </w:pPr>
      <w:r>
        <w:rPr>
          <w:rFonts w:hint="eastAsia" w:ascii="仿宋_GB2312" w:hAnsi="仿宋" w:eastAsia="仿宋_GB2312" w:cs="仿宋_GB2312"/>
          <w:sz w:val="34"/>
          <w:szCs w:val="34"/>
        </w:rPr>
        <w:t>二、适用的技术标准与规范</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投标产品应该满足下列最新版本的标准和规范的要求。</w:t>
      </w:r>
      <w:bookmarkStart w:id="24" w:name="_Toc137193799"/>
      <w:bookmarkStart w:id="25" w:name="_Toc137187763"/>
      <w:bookmarkStart w:id="26" w:name="_Toc137188135"/>
      <w:bookmarkStart w:id="27" w:name="_Toc137190329"/>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GB/T2423.1--1989 电工电子产品基本环境试验规程 试验A：低温试验方法</w:t>
      </w:r>
      <w:bookmarkEnd w:id="24"/>
      <w:bookmarkEnd w:id="25"/>
      <w:bookmarkEnd w:id="26"/>
      <w:bookmarkEnd w:id="27"/>
    </w:p>
    <w:p>
      <w:pPr>
        <w:spacing w:line="600" w:lineRule="exact"/>
        <w:ind w:firstLine="680" w:firstLineChars="200"/>
        <w:rPr>
          <w:rFonts w:hint="eastAsia" w:ascii="仿宋_GB2312" w:hAnsi="仿宋" w:eastAsia="仿宋_GB2312" w:cs="仿宋_GB2312"/>
          <w:sz w:val="34"/>
          <w:szCs w:val="34"/>
        </w:rPr>
      </w:pPr>
      <w:bookmarkStart w:id="28" w:name="_Toc137187764"/>
      <w:bookmarkStart w:id="29" w:name="_Toc137193800"/>
      <w:bookmarkStart w:id="30" w:name="_Toc137188136"/>
      <w:bookmarkStart w:id="31" w:name="_Toc137190330"/>
      <w:r>
        <w:rPr>
          <w:rFonts w:hint="eastAsia" w:ascii="仿宋_GB2312" w:hAnsi="仿宋" w:eastAsia="仿宋_GB2312" w:cs="仿宋_GB2312"/>
          <w:sz w:val="34"/>
          <w:szCs w:val="34"/>
        </w:rPr>
        <w:t>GB/T2423.2--1989 电工电子产品基本环境试验规程 试验B：高温试验方法</w:t>
      </w:r>
      <w:bookmarkEnd w:id="28"/>
      <w:bookmarkEnd w:id="29"/>
      <w:bookmarkEnd w:id="30"/>
      <w:bookmarkEnd w:id="31"/>
    </w:p>
    <w:p>
      <w:pPr>
        <w:spacing w:line="600" w:lineRule="exact"/>
        <w:ind w:firstLine="680" w:firstLineChars="200"/>
        <w:rPr>
          <w:rFonts w:hint="eastAsia" w:ascii="仿宋_GB2312" w:hAnsi="仿宋" w:eastAsia="仿宋_GB2312" w:cs="仿宋_GB2312"/>
          <w:sz w:val="34"/>
          <w:szCs w:val="34"/>
        </w:rPr>
      </w:pPr>
      <w:bookmarkStart w:id="32" w:name="_Toc137190331"/>
      <w:bookmarkStart w:id="33" w:name="_Toc137188137"/>
      <w:bookmarkStart w:id="34" w:name="_Toc137187765"/>
      <w:bookmarkStart w:id="35" w:name="_Toc137193801"/>
      <w:r>
        <w:rPr>
          <w:rFonts w:hint="eastAsia" w:ascii="仿宋_GB2312" w:hAnsi="仿宋" w:eastAsia="仿宋_GB2312" w:cs="仿宋_GB2312"/>
          <w:sz w:val="34"/>
          <w:szCs w:val="34"/>
        </w:rPr>
        <w:t>GB/T2423.9--1989 电工电子产品基本环境试验规程 试验Cb：设备用恒定湿热试验方法</w:t>
      </w:r>
      <w:bookmarkEnd w:id="32"/>
      <w:bookmarkEnd w:id="33"/>
      <w:bookmarkEnd w:id="34"/>
      <w:bookmarkEnd w:id="35"/>
    </w:p>
    <w:p>
      <w:pPr>
        <w:spacing w:line="600" w:lineRule="exact"/>
        <w:ind w:firstLine="680" w:firstLineChars="200"/>
        <w:rPr>
          <w:rFonts w:hint="eastAsia" w:ascii="仿宋_GB2312" w:hAnsi="仿宋" w:eastAsia="仿宋_GB2312" w:cs="仿宋_GB2312"/>
          <w:sz w:val="34"/>
          <w:szCs w:val="34"/>
        </w:rPr>
      </w:pPr>
      <w:bookmarkStart w:id="36" w:name="_Toc137190332"/>
      <w:bookmarkStart w:id="37" w:name="_Toc137187766"/>
      <w:bookmarkStart w:id="38" w:name="_Toc137188138"/>
      <w:bookmarkStart w:id="39" w:name="_Toc137193802"/>
      <w:r>
        <w:rPr>
          <w:rFonts w:hint="eastAsia" w:ascii="仿宋_GB2312" w:hAnsi="仿宋" w:eastAsia="仿宋_GB2312" w:cs="仿宋_GB2312"/>
          <w:sz w:val="34"/>
          <w:szCs w:val="34"/>
        </w:rPr>
        <w:t>GB/T3859.2--1993 半导体变流器应用导则</w:t>
      </w:r>
      <w:bookmarkEnd w:id="36"/>
      <w:bookmarkEnd w:id="37"/>
      <w:bookmarkEnd w:id="38"/>
      <w:bookmarkEnd w:id="39"/>
    </w:p>
    <w:p>
      <w:pPr>
        <w:spacing w:line="600" w:lineRule="exact"/>
        <w:ind w:firstLine="680" w:firstLineChars="200"/>
        <w:rPr>
          <w:rFonts w:hint="eastAsia" w:ascii="仿宋_GB2312" w:hAnsi="仿宋" w:eastAsia="仿宋_GB2312" w:cs="仿宋_GB2312"/>
          <w:sz w:val="34"/>
          <w:szCs w:val="34"/>
        </w:rPr>
      </w:pPr>
      <w:bookmarkStart w:id="40" w:name="_Toc137190333"/>
      <w:bookmarkStart w:id="41" w:name="_Toc137188139"/>
      <w:bookmarkStart w:id="42" w:name="_Toc137187767"/>
      <w:bookmarkStart w:id="43" w:name="_Toc137193803"/>
      <w:r>
        <w:rPr>
          <w:rFonts w:hint="eastAsia" w:ascii="仿宋_GB2312" w:hAnsi="仿宋" w:eastAsia="仿宋_GB2312" w:cs="仿宋_GB2312"/>
          <w:sz w:val="34"/>
          <w:szCs w:val="34"/>
        </w:rPr>
        <w:t>EN50091-1-1、 EN50091-2和ENV50091-3</w:t>
      </w:r>
      <w:bookmarkEnd w:id="40"/>
      <w:bookmarkEnd w:id="41"/>
      <w:bookmarkEnd w:id="42"/>
      <w:bookmarkEnd w:id="43"/>
      <w:r>
        <w:rPr>
          <w:rFonts w:hint="eastAsia" w:ascii="仿宋_GB2312" w:hAnsi="仿宋" w:eastAsia="仿宋_GB2312" w:cs="仿宋_GB2312"/>
          <w:sz w:val="34"/>
          <w:szCs w:val="34"/>
        </w:rPr>
        <w:t>标准</w:t>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ZBK45017-90《电力系统用直流屏通用技术条件》</w:t>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DL/T5044-95《火力发电厂、变电站直流系统设计技术规定》</w:t>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DL/T637-1997《阀控式密封铅酸蓄电池订货技术条件》</w:t>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LS(W)30-40-JT《电力系统用微机控制直流电源柜技术条件》</w:t>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Q/STD005-1999《TKZW微机控制高频开关直流电源柜技术条件》三、环境条件</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环境温度：  -5℃～+40℃</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相对湿度：≤95%</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海拔高度：＜1000m</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地震烈度：7度</w:t>
      </w:r>
    </w:p>
    <w:p>
      <w:pPr>
        <w:spacing w:line="600" w:lineRule="exact"/>
        <w:rPr>
          <w:rFonts w:hint="eastAsia" w:ascii="仿宋_GB2312" w:hAnsi="仿宋" w:eastAsia="仿宋_GB2312" w:cs="仿宋_GB2312"/>
          <w:sz w:val="34"/>
          <w:szCs w:val="34"/>
        </w:rPr>
      </w:pPr>
      <w:r>
        <w:rPr>
          <w:rFonts w:hint="eastAsia" w:ascii="仿宋_GB2312" w:hAnsi="仿宋" w:eastAsia="仿宋_GB2312" w:cs="仿宋_GB2312"/>
          <w:sz w:val="34"/>
          <w:szCs w:val="34"/>
        </w:rPr>
        <w:t>四、供货范围</w:t>
      </w:r>
    </w:p>
    <w:p>
      <w:pPr>
        <w:pStyle w:val="3"/>
        <w:ind w:firstLine="48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微机高频开关直流屏采用工业级设计，直流屏系统由以下几部分组成：双电源转换装置、交流配电单元、整流单元、监控单元、直流馈电单元、降压单元、电池单元（须带</w:t>
      </w:r>
      <w:r>
        <w:rPr>
          <w:rFonts w:hint="eastAsia" w:ascii="仿宋_GB2312" w:hAnsi="仿宋" w:eastAsia="仿宋_GB2312" w:cs="仿宋_GB2312"/>
          <w:sz w:val="34"/>
          <w:szCs w:val="34"/>
        </w:rPr>
        <w:t>智能电池管理系统</w:t>
      </w:r>
      <w:r>
        <w:rPr>
          <w:rFonts w:hint="eastAsia" w:ascii="仿宋_GB2312" w:hAnsi="仿宋" w:eastAsia="仿宋_GB2312" w:cs="仿宋_GB2312"/>
          <w:sz w:val="34"/>
          <w:szCs w:val="34"/>
          <w:lang w:eastAsia="zh-CN"/>
        </w:rPr>
        <w:t>）</w:t>
      </w:r>
      <w:r>
        <w:rPr>
          <w:rFonts w:hint="eastAsia" w:ascii="仿宋_GB2312" w:hAnsi="仿宋" w:eastAsia="仿宋_GB2312" w:cs="仿宋_GB2312"/>
          <w:sz w:val="34"/>
          <w:szCs w:val="34"/>
          <w:lang w:val="en-US" w:eastAsia="zh-CN"/>
        </w:rPr>
        <w:t>、绝缘监测单元、交流逆变器等。</w:t>
      </w:r>
      <w:r>
        <w:rPr>
          <w:rFonts w:hint="eastAsia" w:ascii="仿宋_GB2312" w:hAnsi="仿宋" w:eastAsia="仿宋_GB2312" w:cs="仿宋_GB2312"/>
          <w:sz w:val="34"/>
          <w:szCs w:val="34"/>
        </w:rPr>
        <w:t>供货为成套供货的，买方在现场提供两路独立的供电电源及电源电缆，其他所有材料和附件均由卖方提供，卖方应负责现场设备的安装、调试工作和其他现场配合工作。</w:t>
      </w:r>
    </w:p>
    <w:p>
      <w:pPr>
        <w:spacing w:line="600" w:lineRule="exact"/>
        <w:rPr>
          <w:rFonts w:hint="eastAsia" w:ascii="仿宋_GB2312" w:hAnsi="仿宋" w:eastAsia="仿宋_GB2312" w:cs="仿宋_GB2312"/>
          <w:sz w:val="34"/>
          <w:szCs w:val="34"/>
        </w:rPr>
      </w:pPr>
      <w:r>
        <w:rPr>
          <w:rFonts w:hint="eastAsia" w:ascii="仿宋_GB2312" w:hAnsi="仿宋" w:eastAsia="仿宋_GB2312" w:cs="仿宋_GB2312"/>
          <w:sz w:val="34"/>
          <w:szCs w:val="34"/>
        </w:rPr>
        <w:t>五、</w:t>
      </w:r>
      <w:r>
        <w:rPr>
          <w:rFonts w:hint="eastAsia" w:ascii="仿宋_GB2312" w:hAnsi="仿宋" w:eastAsia="仿宋_GB2312" w:cs="仿宋_GB2312"/>
          <w:sz w:val="34"/>
          <w:szCs w:val="34"/>
          <w:lang w:val="en-US" w:eastAsia="zh-CN"/>
        </w:rPr>
        <w:t>微机高频开关直流屏</w:t>
      </w:r>
      <w:r>
        <w:rPr>
          <w:rFonts w:hint="eastAsia" w:ascii="仿宋_GB2312" w:hAnsi="仿宋" w:eastAsia="仿宋_GB2312" w:cs="仿宋_GB2312"/>
          <w:sz w:val="34"/>
          <w:szCs w:val="34"/>
        </w:rPr>
        <w:t>系统基本技术要求</w:t>
      </w:r>
    </w:p>
    <w:p>
      <w:pPr>
        <w:spacing w:line="600" w:lineRule="exact"/>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1.微机高频开关直流屏</w:t>
      </w:r>
    </w:p>
    <w:p>
      <w:pPr>
        <w:spacing w:line="600" w:lineRule="exact"/>
        <w:ind w:firstLine="340" w:firstLineChars="100"/>
        <w:rPr>
          <w:rFonts w:hint="default" w:ascii="仿宋_GB2312" w:hAnsi="仿宋" w:eastAsia="仿宋_GB2312" w:cs="仿宋_GB2312"/>
          <w:sz w:val="34"/>
          <w:szCs w:val="34"/>
          <w:lang w:val="en-US" w:eastAsia="zh-CN"/>
        </w:rPr>
      </w:pPr>
      <w:r>
        <w:rPr>
          <w:rFonts w:hint="eastAsia" w:ascii="仿宋_GB2312" w:hAnsi="仿宋" w:eastAsia="仿宋_GB2312" w:cs="仿宋_GB2312"/>
          <w:sz w:val="34"/>
          <w:szCs w:val="34"/>
        </w:rPr>
        <w:t>品牌：</w:t>
      </w:r>
      <w:r>
        <w:rPr>
          <w:rFonts w:hint="eastAsia" w:ascii="仿宋_GB2312" w:hAnsi="仿宋" w:eastAsia="仿宋_GB2312" w:cs="仿宋_GB2312"/>
          <w:sz w:val="34"/>
          <w:szCs w:val="34"/>
          <w:lang w:val="en-US" w:eastAsia="zh-CN"/>
        </w:rPr>
        <w:t>需</w:t>
      </w:r>
      <w:r>
        <w:rPr>
          <w:rFonts w:hint="eastAsia" w:ascii="仿宋_GB2312" w:hAnsi="仿宋" w:eastAsia="仿宋_GB2312" w:cs="仿宋_GB2312"/>
          <w:sz w:val="34"/>
          <w:szCs w:val="34"/>
        </w:rPr>
        <w:t>是国</w:t>
      </w:r>
      <w:r>
        <w:rPr>
          <w:rFonts w:hint="eastAsia" w:ascii="仿宋_GB2312" w:hAnsi="仿宋" w:eastAsia="仿宋_GB2312" w:cs="仿宋_GB2312"/>
          <w:sz w:val="34"/>
          <w:szCs w:val="34"/>
          <w:lang w:val="en-US" w:eastAsia="zh-CN"/>
        </w:rPr>
        <w:t>内外</w:t>
      </w:r>
      <w:r>
        <w:rPr>
          <w:rFonts w:hint="eastAsia" w:ascii="仿宋_GB2312" w:hAnsi="仿宋" w:eastAsia="仿宋_GB2312" w:cs="仿宋_GB2312"/>
          <w:sz w:val="34"/>
          <w:szCs w:val="34"/>
        </w:rPr>
        <w:t>知名品牌，在石化</w:t>
      </w:r>
      <w:r>
        <w:rPr>
          <w:rFonts w:hint="eastAsia" w:ascii="仿宋_GB2312" w:hAnsi="仿宋" w:eastAsia="仿宋_GB2312" w:cs="仿宋_GB2312"/>
          <w:sz w:val="34"/>
          <w:szCs w:val="34"/>
          <w:lang w:val="en-US" w:eastAsia="zh-CN"/>
        </w:rPr>
        <w:t>、发电</w:t>
      </w:r>
      <w:r>
        <w:rPr>
          <w:rFonts w:hint="eastAsia" w:ascii="仿宋_GB2312" w:hAnsi="仿宋" w:eastAsia="仿宋_GB2312" w:cs="仿宋_GB2312"/>
          <w:sz w:val="34"/>
          <w:szCs w:val="34"/>
        </w:rPr>
        <w:t>行业有较多应用业绩,提供相关资质认证及近</w:t>
      </w:r>
      <w:r>
        <w:rPr>
          <w:rFonts w:hint="eastAsia" w:ascii="仿宋_GB2312" w:hAnsi="仿宋" w:eastAsia="仿宋_GB2312" w:cs="仿宋_GB2312"/>
          <w:sz w:val="34"/>
          <w:szCs w:val="34"/>
          <w:lang w:val="en-US" w:eastAsia="zh-CN"/>
        </w:rPr>
        <w:t>一</w:t>
      </w:r>
      <w:r>
        <w:rPr>
          <w:rFonts w:hint="eastAsia" w:ascii="仿宋_GB2312" w:hAnsi="仿宋" w:eastAsia="仿宋_GB2312" w:cs="仿宋_GB2312"/>
          <w:sz w:val="34"/>
          <w:szCs w:val="34"/>
        </w:rPr>
        <w:t>年内</w:t>
      </w:r>
      <w:r>
        <w:rPr>
          <w:rFonts w:hint="eastAsia" w:ascii="仿宋_GB2312" w:hAnsi="仿宋" w:eastAsia="仿宋_GB2312" w:cs="仿宋_GB2312"/>
          <w:sz w:val="34"/>
          <w:szCs w:val="34"/>
          <w:lang w:val="en-US" w:eastAsia="zh-CN"/>
        </w:rPr>
        <w:t>发电、</w:t>
      </w:r>
      <w:r>
        <w:rPr>
          <w:rFonts w:hint="eastAsia" w:ascii="仿宋_GB2312" w:hAnsi="仿宋" w:eastAsia="仿宋_GB2312" w:cs="仿宋_GB2312"/>
          <w:sz w:val="34"/>
          <w:szCs w:val="34"/>
        </w:rPr>
        <w:t>石化系统的应用业绩，</w:t>
      </w:r>
      <w:r>
        <w:rPr>
          <w:rFonts w:hint="eastAsia" w:ascii="仿宋_GB2312" w:hAnsi="仿宋" w:eastAsia="仿宋_GB2312" w:cs="仿宋_GB2312"/>
          <w:sz w:val="34"/>
          <w:szCs w:val="34"/>
          <w:lang w:val="en-US" w:eastAsia="zh-CN"/>
        </w:rPr>
        <w:t>品牌</w:t>
      </w:r>
      <w:r>
        <w:rPr>
          <w:rFonts w:hint="eastAsia" w:ascii="仿宋_GB2312" w:hAnsi="仿宋" w:eastAsia="仿宋_GB2312" w:cs="仿宋_GB2312"/>
          <w:sz w:val="34"/>
          <w:szCs w:val="34"/>
        </w:rPr>
        <w:t>选用以下产品：</w:t>
      </w:r>
      <w:r>
        <w:rPr>
          <w:rFonts w:hint="eastAsia" w:ascii="仿宋_GB2312" w:hAnsi="仿宋" w:eastAsia="仿宋_GB2312" w:cs="仿宋_GB2312"/>
          <w:sz w:val="34"/>
          <w:szCs w:val="34"/>
          <w:lang w:val="en-US" w:eastAsia="zh-CN"/>
        </w:rPr>
        <w:t>维谛HD11010-3,中恒ZHDCS22050/100，浙江三辰PGD8-100/220。。</w:t>
      </w:r>
    </w:p>
    <w:p>
      <w:pPr>
        <w:spacing w:line="600" w:lineRule="exact"/>
        <w:ind w:firstLine="680" w:firstLineChars="200"/>
        <w:rPr>
          <w:rFonts w:hint="default"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主系统示意图：</w:t>
      </w:r>
      <w:bookmarkStart w:id="44" w:name="_GoBack"/>
      <w:bookmarkEnd w:id="44"/>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829300" cy="4610100"/>
            <wp:effectExtent l="0" t="0" r="0" b="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4"/>
                    <a:stretch>
                      <a:fillRect/>
                    </a:stretch>
                  </pic:blipFill>
                  <pic:spPr>
                    <a:xfrm>
                      <a:off x="0" y="0"/>
                      <a:ext cx="5829300" cy="4610100"/>
                    </a:xfrm>
                    <a:prstGeom prst="rect">
                      <a:avLst/>
                    </a:prstGeom>
                    <a:noFill/>
                    <a:ln w="9525">
                      <a:noFill/>
                    </a:ln>
                  </pic:spPr>
                </pic:pic>
              </a:graphicData>
            </a:graphic>
          </wp:inline>
        </w:drawing>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必须具有“过压、短路、过载、超温”等报警功能及事故、故障自诊断功能。</w:t>
      </w: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rPr>
        <w:t>交流配电单元</w:t>
      </w:r>
    </w:p>
    <w:p>
      <w:pPr>
        <w:spacing w:line="600" w:lineRule="exact"/>
        <w:ind w:firstLine="680" w:firstLineChars="20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微机高频开关直流屏</w:t>
      </w:r>
      <w:r>
        <w:rPr>
          <w:rFonts w:hint="eastAsia" w:ascii="仿宋_GB2312" w:hAnsi="仿宋" w:eastAsia="仿宋_GB2312" w:cs="仿宋_GB2312"/>
          <w:sz w:val="34"/>
          <w:szCs w:val="34"/>
        </w:rPr>
        <w:t>采用三相输入单相输出（输入电压范围为AC380V±20%），输入频率范围为50Hz±10%，额定输出电压AC</w:t>
      </w:r>
      <w:r>
        <w:rPr>
          <w:rFonts w:ascii="仿宋_GB2312" w:hAnsi="仿宋" w:eastAsia="仿宋_GB2312" w:cs="仿宋_GB2312"/>
          <w:sz w:val="34"/>
          <w:szCs w:val="34"/>
        </w:rPr>
        <w:t>22</w:t>
      </w:r>
      <w:r>
        <w:rPr>
          <w:rFonts w:hint="eastAsia" w:ascii="仿宋_GB2312" w:hAnsi="仿宋" w:eastAsia="仿宋_GB2312" w:cs="仿宋_GB2312"/>
          <w:sz w:val="34"/>
          <w:szCs w:val="34"/>
        </w:rPr>
        <w:t>0V</w:t>
      </w:r>
      <w:r>
        <w:rPr>
          <w:rFonts w:hint="eastAsia" w:ascii="仿宋_GB2312" w:hAnsi="仿宋" w:eastAsia="仿宋_GB2312" w:cs="仿宋_GB2312"/>
          <w:sz w:val="34"/>
          <w:szCs w:val="34"/>
          <w:lang w:val="en-US" w:eastAsia="zh-CN"/>
        </w:rPr>
        <w:t>±1%，将交流电源引入分配给各个充电模块，并实现两路交流电源的自动切换（双电源切换装置选用ABB或施耐德）.系统默认第一路交流电源为主电源，特殊情况可用两路交流输入切换开关手动选择任一路交流电源投入使用.在交流线路上设有C级避雷装置，可有效地防止过电压的冲击，保障充电模块正常工作。</w:t>
      </w: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lang w:val="en-US" w:eastAsia="zh-CN"/>
        </w:rPr>
        <w:t>充电</w:t>
      </w:r>
      <w:r>
        <w:rPr>
          <w:rFonts w:hint="eastAsia" w:ascii="华文宋体" w:hAnsi="华文宋体" w:eastAsia="华文宋体" w:cs="华文宋体"/>
          <w:b/>
          <w:color w:val="000000"/>
          <w:sz w:val="24"/>
        </w:rPr>
        <w:t>整流单元</w:t>
      </w:r>
    </w:p>
    <w:p>
      <w:pPr>
        <w:spacing w:line="360" w:lineRule="auto"/>
        <w:ind w:firstLine="480"/>
        <w:rPr>
          <w:rFonts w:hint="default"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1.采用智能风冷的高频开关充电模块（5只），完成AC／DＣ转换,实现系统最为基本的功能。一方面给电池充电,另一方面给经常性负载提供电源。可以在自动（监控模块控制）和手动（人为控制)两种工作方式下工作.充电柜内安装C级、D级两级防雷组件，C级防雷组件通流容量可达4０KA，D级防雷组件通流容量可达8ＫA，充电模块关键元器件选型如下：</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2.模块采用先进的移相谐振高频软开关电源技术，模块效率大于94%;采用无源PFＣ技术,功率因数大于0.92。</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3.真正的热插拔设计，插针选用高品质镀金插针，并有独特的长短针专利设计，方便了系统维护。</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4.具备电磁兼容和安规措施,抗干扰能力强，符合IEC相关标准.</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5.与传统相控电源比较，输出纹波大大减小。</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6.模块间的均流采用了低差自主均流技术,多个充电模块并机运行时，具有理想的均流性能。</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7.模块直流输出采用无级限流方式,可根据负载电流的大小和电池容量，由系统监控模块选择限流点，稳流精度优于０.５％，模块内设置了短路回缩特性，即使模块处于长期短路状态也不致损坏。</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8.模块内置CPＵ,可显示电压电流并故障告警,离开监控仍可独立正常工作。</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9.充电模块内部监控板在监视控制模块运行情况的同时，还与系统监控模块通信，使充电模块具有遥控、遥测、遥信、遥调功能.</w:t>
      </w: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rPr>
        <w:t>监控单元</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高频开关直流屏需配置电阻式智能触摸显示屏</w:t>
      </w:r>
      <w:r>
        <w:rPr>
          <w:rFonts w:hint="eastAsia" w:ascii="仿宋_GB2312" w:hAnsi="仿宋" w:eastAsia="仿宋_GB2312" w:cs="仿宋_GB2312"/>
          <w:sz w:val="34"/>
          <w:szCs w:val="34"/>
          <w:lang w:eastAsia="zh-CN"/>
        </w:rPr>
        <w:t>，</w:t>
      </w:r>
      <w:r>
        <w:rPr>
          <w:rFonts w:hint="eastAsia" w:ascii="仿宋_GB2312" w:hAnsi="仿宋" w:eastAsia="仿宋_GB2312" w:cs="仿宋_GB2312"/>
          <w:sz w:val="34"/>
          <w:szCs w:val="34"/>
        </w:rPr>
        <w:t>中、英文显示：</w:t>
      </w:r>
    </w:p>
    <w:p>
      <w:pPr>
        <w:spacing w:line="600" w:lineRule="exact"/>
        <w:ind w:firstLine="340" w:firstLineChars="100"/>
        <w:rPr>
          <w:rFonts w:hint="eastAsia" w:ascii="仿宋_GB2312" w:hAnsi="仿宋" w:eastAsia="仿宋_GB2312" w:cs="仿宋_GB2312"/>
          <w:sz w:val="34"/>
          <w:szCs w:val="34"/>
          <w:lang w:eastAsia="zh-CN"/>
        </w:rPr>
      </w:pPr>
      <w:r>
        <w:rPr>
          <w:rFonts w:hint="eastAsia" w:ascii="仿宋_GB2312" w:hAnsi="仿宋" w:eastAsia="仿宋_GB2312" w:cs="仿宋_GB2312"/>
          <w:sz w:val="34"/>
          <w:szCs w:val="34"/>
          <w:lang w:val="en-US" w:eastAsia="zh-CN"/>
        </w:rPr>
        <w:t>1.高频开关直流屏</w:t>
      </w:r>
      <w:r>
        <w:rPr>
          <w:rFonts w:hint="eastAsia" w:ascii="仿宋_GB2312" w:hAnsi="仿宋" w:eastAsia="仿宋_GB2312" w:cs="仿宋_GB2312"/>
          <w:sz w:val="34"/>
          <w:szCs w:val="34"/>
        </w:rPr>
        <w:t>主输入电源的电压、电流和频率参数</w:t>
      </w:r>
      <w:r>
        <w:rPr>
          <w:rFonts w:hint="eastAsia" w:ascii="仿宋_GB2312" w:hAnsi="仿宋" w:eastAsia="仿宋_GB2312" w:cs="仿宋_GB2312"/>
          <w:sz w:val="34"/>
          <w:szCs w:val="34"/>
          <w:lang w:eastAsia="zh-CN"/>
        </w:rPr>
        <w:t>。</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2.高频开关直流屏</w:t>
      </w:r>
      <w:r>
        <w:rPr>
          <w:rFonts w:hint="eastAsia" w:ascii="仿宋_GB2312" w:hAnsi="仿宋" w:eastAsia="仿宋_GB2312" w:cs="仿宋_GB2312"/>
          <w:sz w:val="34"/>
          <w:szCs w:val="34"/>
        </w:rPr>
        <w:t>输出电源的电压、电流和频率参数；</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3.</w:t>
      </w:r>
      <w:r>
        <w:rPr>
          <w:rFonts w:hint="eastAsia" w:ascii="仿宋_GB2312" w:hAnsi="仿宋" w:eastAsia="仿宋_GB2312" w:cs="仿宋_GB2312"/>
          <w:sz w:val="34"/>
          <w:szCs w:val="34"/>
        </w:rPr>
        <w:t>电池电压、电流和充放电状态；</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4.</w:t>
      </w:r>
      <w:r>
        <w:rPr>
          <w:rFonts w:hint="eastAsia" w:ascii="仿宋_GB2312" w:hAnsi="仿宋" w:eastAsia="仿宋_GB2312" w:cs="仿宋_GB2312"/>
          <w:sz w:val="34"/>
          <w:szCs w:val="34"/>
        </w:rPr>
        <w:t>显示各种报警信息；显示各种状态信息；显示各种故障信息并提示操作人员如何处理当前故障。</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5.</w:t>
      </w:r>
      <w:r>
        <w:rPr>
          <w:rFonts w:hint="eastAsia" w:ascii="仿宋_GB2312" w:hAnsi="仿宋" w:eastAsia="仿宋_GB2312" w:cs="仿宋_GB2312"/>
          <w:sz w:val="34"/>
          <w:szCs w:val="34"/>
        </w:rPr>
        <w:t>事件日志：能进行</w:t>
      </w:r>
      <w:r>
        <w:rPr>
          <w:rFonts w:ascii="仿宋_GB2312" w:hAnsi="仿宋" w:eastAsia="仿宋_GB2312" w:cs="仿宋_GB2312"/>
          <w:sz w:val="34"/>
          <w:szCs w:val="34"/>
        </w:rPr>
        <w:t>１２８</w:t>
      </w:r>
      <w:r>
        <w:rPr>
          <w:rFonts w:hint="eastAsia" w:ascii="仿宋_GB2312" w:hAnsi="仿宋" w:eastAsia="仿宋_GB2312" w:cs="仿宋_GB2312"/>
          <w:sz w:val="34"/>
          <w:szCs w:val="34"/>
        </w:rPr>
        <w:t>条大时间记录运行过程中发生的事件，为故障分析提供了真实的依据。</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6.高频开关直流屏</w:t>
      </w:r>
      <w:r>
        <w:rPr>
          <w:rFonts w:hint="eastAsia" w:ascii="仿宋_GB2312" w:hAnsi="仿宋" w:eastAsia="仿宋_GB2312" w:cs="仿宋_GB2312"/>
          <w:sz w:val="34"/>
          <w:szCs w:val="34"/>
        </w:rPr>
        <w:t>内部参数设置功能和准确的故障自诊断功能</w:t>
      </w:r>
    </w:p>
    <w:p>
      <w:pPr>
        <w:spacing w:line="360" w:lineRule="auto"/>
        <w:ind w:firstLine="340" w:firstLineChars="10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7.为电池管理和实现后台监控.具有四遥功能:“遥测、遥信、遥控、遥调”，可使电源系统达到少人之手或无人值守。采用分散测量和控制，集中管理的集散模式，使系统组成扩容方便、灵活。</w:t>
      </w:r>
    </w:p>
    <w:p>
      <w:pPr>
        <w:spacing w:line="360" w:lineRule="auto"/>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四遥功能：</w:t>
      </w:r>
    </w:p>
    <w:tbl>
      <w:tblPr>
        <w:tblStyle w:val="10"/>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119" w:type="dxa"/>
            <w:vAlign w:val="bottom"/>
          </w:tcPr>
          <w:p>
            <w:pPr>
              <w:keepNext w:val="0"/>
              <w:keepLines w:val="0"/>
              <w:suppressLineNumbers w:val="0"/>
              <w:spacing w:before="0" w:beforeAutospacing="0" w:after="0" w:afterAutospacing="0"/>
              <w:ind w:left="0" w:right="0"/>
              <w:jc w:val="center"/>
              <w:rPr>
                <w:rFonts w:hint="eastAsia"/>
                <w:b/>
                <w:sz w:val="24"/>
              </w:rPr>
            </w:pPr>
            <w:r>
              <w:rPr>
                <w:rFonts w:hint="eastAsia" w:ascii="华文宋体" w:hAnsi="华文宋体" w:eastAsia="华文宋体" w:cs="华文宋体"/>
                <w:b/>
                <w:color w:val="000000"/>
                <w:sz w:val="24"/>
              </w:rPr>
              <w:t>项 　目</w:t>
            </w:r>
          </w:p>
        </w:tc>
        <w:tc>
          <w:tcPr>
            <w:tcW w:w="8280" w:type="dxa"/>
            <w:vAlign w:val="center"/>
          </w:tcPr>
          <w:p>
            <w:pPr>
              <w:keepNext w:val="0"/>
              <w:keepLines w:val="0"/>
              <w:suppressLineNumbers w:val="0"/>
              <w:spacing w:before="0" w:beforeAutospacing="0" w:after="0" w:afterAutospacing="0"/>
              <w:ind w:left="0" w:right="0"/>
              <w:jc w:val="center"/>
              <w:rPr>
                <w:rFonts w:hint="eastAsia"/>
                <w:b/>
                <w:sz w:val="24"/>
              </w:rPr>
            </w:pPr>
            <w:r>
              <w:rPr>
                <w:rFonts w:hint="eastAsia" w:ascii="华文宋体" w:hAnsi="华文宋体" w:eastAsia="华文宋体" w:cs="华文宋体"/>
                <w:b/>
                <w:color w:val="000000"/>
                <w:sz w:val="24"/>
              </w:rPr>
              <w:t>指</w:t>
            </w:r>
            <w:r>
              <w:rPr>
                <w:rFonts w:hint="default" w:ascii="华文宋体" w:hAnsi="华文宋体" w:eastAsia="华文宋体" w:cs="华文宋体"/>
                <w:b/>
                <w:color w:val="000000"/>
                <w:sz w:val="24"/>
              </w:rPr>
              <w:t xml:space="preserve">   　　　</w:t>
            </w:r>
            <w:r>
              <w:rPr>
                <w:rFonts w:hint="eastAsia" w:ascii="华文宋体" w:hAnsi="华文宋体" w:eastAsia="华文宋体" w:cs="华文宋体"/>
                <w:b/>
                <w:color w:val="000000"/>
                <w:sz w:val="24"/>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119"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遥测</w:t>
            </w: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系统母线电压、负载总电流:电池电压、电池充放电电流;输入市电电网电压；各充电模块输出电压、输出电流;母线对地绝缘情况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1119"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遥信</w:t>
            </w: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直流配电各输出支路空开通断状态；电池组熔断器通断状态;电池充电电流过大,电池电压欠压、过压；市电电网停电、缺相，电网电压过高、过低;合闸控制母线过/欠压、充电模块保护、故障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trPr>
        <w:tc>
          <w:tcPr>
            <w:tcW w:w="1119" w:type="dxa"/>
            <w:vMerge w:val="restart"/>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遥控</w:t>
            </w: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充电模块开、关机控制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 w:hRule="atLeast"/>
        </w:trPr>
        <w:tc>
          <w:tcPr>
            <w:tcW w:w="1119" w:type="dxa"/>
            <w:vMerge w:val="continue"/>
            <w:vAlign w:val="center"/>
          </w:tcPr>
          <w:p>
            <w:pPr>
              <w:keepNext w:val="0"/>
              <w:keepLines w:val="0"/>
              <w:suppressLineNumbers w:val="0"/>
              <w:spacing w:before="0" w:beforeAutospacing="0" w:after="0" w:afterAutospacing="0"/>
              <w:ind w:left="0" w:right="0"/>
              <w:jc w:val="center"/>
              <w:rPr>
                <w:rFonts w:hint="eastAsia"/>
                <w:sz w:val="24"/>
              </w:rPr>
            </w:pP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充电模块均、浮充转换控制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119" w:type="dxa"/>
            <w:vMerge w:val="restart"/>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遥调</w:t>
            </w: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充电模块输出电流无级限流控制（根据监控单元命令,在</w:t>
            </w:r>
            <w:r>
              <w:rPr>
                <w:rFonts w:hint="default" w:ascii="华文宋体" w:hAnsi="华文宋体" w:eastAsia="华文宋体" w:cs="华文宋体"/>
                <w:color w:val="000000"/>
                <w:sz w:val="24"/>
              </w:rPr>
              <w:t>10％~100％</w:t>
            </w:r>
            <w:r>
              <w:rPr>
                <w:rFonts w:hint="eastAsia" w:ascii="华文宋体" w:hAnsi="华文宋体" w:eastAsia="华文宋体" w:cs="华文宋体"/>
                <w:color w:val="000000"/>
                <w:sz w:val="24"/>
              </w:rPr>
              <w:t>范围内调节充电模块输出电流限流点）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1119" w:type="dxa"/>
            <w:vMerge w:val="continue"/>
            <w:vAlign w:val="top"/>
          </w:tcPr>
          <w:p>
            <w:pPr>
              <w:keepNext w:val="0"/>
              <w:keepLines w:val="0"/>
              <w:suppressLineNumbers w:val="0"/>
              <w:spacing w:before="0" w:beforeAutospacing="0" w:after="0" w:afterAutospacing="0"/>
              <w:ind w:left="0" w:right="0"/>
              <w:rPr>
                <w:rFonts w:hint="eastAsia"/>
                <w:sz w:val="24"/>
              </w:rPr>
            </w:pPr>
          </w:p>
        </w:tc>
        <w:tc>
          <w:tcPr>
            <w:tcW w:w="8280"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充电模块输出电压调节控制(根据监控单元命令，调节充电模块输出电压的大小)</w:t>
            </w:r>
          </w:p>
        </w:tc>
      </w:tr>
    </w:tbl>
    <w:p>
      <w:pPr>
        <w:spacing w:line="360" w:lineRule="auto"/>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保护参数：</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7"/>
        <w:gridCol w:w="6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输入过压告警</w:t>
            </w:r>
          </w:p>
        </w:tc>
        <w:tc>
          <w:tcPr>
            <w:tcW w:w="6398"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可设置（默认值4３7</w:t>
            </w:r>
            <w:r>
              <w:rPr>
                <w:rFonts w:hint="default" w:ascii="华文宋体" w:hAnsi="华文宋体" w:eastAsia="华文宋体" w:cs="华文宋体"/>
                <w:color w:val="000000"/>
                <w:sz w:val="24"/>
              </w:rPr>
              <w:t>VAC</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输入过压切换点</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4７0±5</w:t>
            </w:r>
            <w:r>
              <w:rPr>
                <w:rFonts w:hint="default" w:ascii="华文宋体" w:hAnsi="华文宋体" w:eastAsia="华文宋体" w:cs="华文宋体"/>
                <w:color w:val="000000"/>
                <w:sz w:val="24"/>
              </w:rPr>
              <w:t>VＡＣ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输入欠压告警</w:t>
            </w:r>
          </w:p>
        </w:tc>
        <w:tc>
          <w:tcPr>
            <w:tcW w:w="6398" w:type="dxa"/>
            <w:vAlign w:val="center"/>
          </w:tcPr>
          <w:p>
            <w:pPr>
              <w:keepNext w:val="0"/>
              <w:keepLines w:val="0"/>
              <w:suppressLineNumbers w:val="0"/>
              <w:spacing w:before="0" w:beforeAutospacing="0" w:after="0" w:afterAutospacing="0"/>
              <w:ind w:left="0" w:right="0"/>
              <w:rPr>
                <w:rFonts w:hint="eastAsia"/>
                <w:sz w:val="24"/>
              </w:rPr>
            </w:pPr>
            <w:r>
              <w:rPr>
                <w:rFonts w:hint="eastAsia" w:ascii="华文宋体" w:hAnsi="华文宋体" w:eastAsia="华文宋体" w:cs="华文宋体"/>
                <w:color w:val="000000"/>
                <w:sz w:val="24"/>
              </w:rPr>
              <w:t>可设置（默认值32３</w:t>
            </w:r>
            <w:r>
              <w:rPr>
                <w:rFonts w:hint="default" w:ascii="华文宋体" w:hAnsi="华文宋体" w:eastAsia="华文宋体" w:cs="华文宋体"/>
                <w:color w:val="000000"/>
                <w:sz w:val="24"/>
              </w:rPr>
              <w:t>VAC</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输入欠压切换点</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default" w:ascii="华文宋体" w:hAnsi="华文宋体" w:eastAsia="华文宋体" w:cs="华文宋体"/>
                <w:color w:val="000000"/>
                <w:sz w:val="24"/>
              </w:rPr>
              <w:t>3２4</w:t>
            </w:r>
            <w:r>
              <w:rPr>
                <w:rFonts w:hint="eastAsia" w:ascii="华文宋体" w:hAnsi="华文宋体" w:eastAsia="华文宋体" w:cs="华文宋体"/>
                <w:color w:val="000000"/>
                <w:sz w:val="24"/>
              </w:rPr>
              <w:t>±4</w:t>
            </w:r>
            <w:r>
              <w:rPr>
                <w:rFonts w:hint="default" w:ascii="华文宋体" w:hAnsi="华文宋体" w:eastAsia="华文宋体" w:cs="华文宋体"/>
                <w:color w:val="000000"/>
                <w:sz w:val="24"/>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动力母线过压告警</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可设置（默认值260</w:t>
            </w:r>
            <w:r>
              <w:rPr>
                <w:rFonts w:hint="default" w:ascii="华文宋体" w:hAnsi="华文宋体" w:eastAsia="华文宋体" w:cs="华文宋体"/>
                <w:color w:val="000000"/>
                <w:sz w:val="24"/>
              </w:rPr>
              <w:t>V／1３0V</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动力母线欠压告警</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可设置（默认值2０0</w:t>
            </w:r>
            <w:r>
              <w:rPr>
                <w:rFonts w:hint="default" w:ascii="华文宋体" w:hAnsi="华文宋体" w:eastAsia="华文宋体" w:cs="华文宋体"/>
                <w:color w:val="000000"/>
                <w:sz w:val="24"/>
              </w:rPr>
              <w:t>V/1０0Ｖ</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控制母线过压告警</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可设置（默认值2４2</w:t>
            </w:r>
            <w:r>
              <w:rPr>
                <w:rFonts w:hint="default" w:ascii="华文宋体" w:hAnsi="华文宋体" w:eastAsia="华文宋体" w:cs="华文宋体"/>
                <w:color w:val="000000"/>
                <w:sz w:val="24"/>
              </w:rPr>
              <w:t>V／121Ｖ</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控制母线欠压告警</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可设置(默认值198</w:t>
            </w:r>
            <w:r>
              <w:rPr>
                <w:rFonts w:hint="default" w:ascii="华文宋体" w:hAnsi="华文宋体" w:eastAsia="华文宋体" w:cs="华文宋体"/>
                <w:color w:val="000000"/>
                <w:sz w:val="24"/>
              </w:rPr>
              <w:t>V/99V</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充电模块输出过压保护</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可设置(默认值287</w:t>
            </w:r>
            <w:r>
              <w:rPr>
                <w:rFonts w:hint="default" w:ascii="华文宋体" w:hAnsi="华文宋体" w:eastAsia="华文宋体" w:cs="华文宋体"/>
                <w:color w:val="000000"/>
                <w:sz w:val="24"/>
              </w:rPr>
              <w:t>V/14４VDC</w:t>
            </w:r>
            <w:r>
              <w:rPr>
                <w:rFonts w:hint="eastAsia" w:ascii="华文宋体" w:hAnsi="华文宋体" w:eastAsia="华文宋体" w:cs="华文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充电模块输出欠压告警</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default" w:ascii="华文宋体" w:hAnsi="华文宋体" w:eastAsia="华文宋体" w:cs="华文宋体"/>
                <w:color w:val="000000"/>
                <w:sz w:val="24"/>
              </w:rPr>
              <w:t>198V/99VDC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电池组浮充电压</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可设置(默认值2４３</w:t>
            </w:r>
            <w:r>
              <w:rPr>
                <w:rFonts w:hint="default" w:ascii="华文宋体" w:hAnsi="华文宋体" w:eastAsia="华文宋体" w:cs="华文宋体"/>
                <w:color w:val="000000"/>
                <w:sz w:val="24"/>
              </w:rPr>
              <w:t>V/12１Ｖ,</w:t>
            </w:r>
            <w:r>
              <w:rPr>
                <w:rFonts w:hint="eastAsia" w:ascii="华文宋体" w:hAnsi="华文宋体" w:eastAsia="华文宋体" w:cs="华文宋体"/>
                <w:color w:val="000000"/>
                <w:sz w:val="24"/>
              </w:rPr>
              <w:t>按108</w:t>
            </w:r>
            <w:r>
              <w:rPr>
                <w:rFonts w:hint="default" w:ascii="华文宋体" w:hAnsi="华文宋体" w:eastAsia="华文宋体" w:cs="华文宋体"/>
                <w:color w:val="000000"/>
                <w:sz w:val="24"/>
              </w:rPr>
              <w:t>／５4</w:t>
            </w:r>
            <w:r>
              <w:rPr>
                <w:rFonts w:hint="eastAsia" w:ascii="华文宋体" w:hAnsi="华文宋体" w:eastAsia="华文宋体" w:cs="华文宋体"/>
                <w:color w:val="000000"/>
                <w:sz w:val="24"/>
              </w:rPr>
              <w:t>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电池组均充电压</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可设置(默认值２５３</w:t>
            </w:r>
            <w:r>
              <w:rPr>
                <w:rFonts w:hint="default" w:ascii="华文宋体" w:hAnsi="华文宋体" w:eastAsia="华文宋体" w:cs="华文宋体"/>
                <w:color w:val="000000"/>
                <w:sz w:val="24"/>
              </w:rPr>
              <w:t>V/127Ｖ,</w:t>
            </w:r>
            <w:r>
              <w:rPr>
                <w:rFonts w:hint="eastAsia" w:ascii="华文宋体" w:hAnsi="华文宋体" w:eastAsia="华文宋体" w:cs="华文宋体"/>
                <w:color w:val="000000"/>
                <w:sz w:val="24"/>
              </w:rPr>
              <w:t>按10８/５4节电池）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电池组过充告警值</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根据电池容量决定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电池组过压告警点</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根据电池电压设置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457" w:type="dxa"/>
            <w:vAlign w:val="center"/>
          </w:tcPr>
          <w:p>
            <w:pPr>
              <w:keepNext w:val="0"/>
              <w:keepLines w:val="0"/>
              <w:suppressLineNumbers w:val="0"/>
              <w:spacing w:before="0" w:beforeAutospacing="0" w:after="0" w:afterAutospacing="0"/>
              <w:ind w:left="0" w:right="0"/>
              <w:jc w:val="center"/>
              <w:rPr>
                <w:rFonts w:hint="eastAsia"/>
                <w:sz w:val="24"/>
              </w:rPr>
            </w:pPr>
            <w:r>
              <w:rPr>
                <w:rFonts w:hint="eastAsia" w:ascii="华文宋体" w:hAnsi="华文宋体" w:eastAsia="华文宋体" w:cs="华文宋体"/>
                <w:color w:val="000000"/>
                <w:sz w:val="24"/>
              </w:rPr>
              <w:t>电池组欠压告警点</w:t>
            </w:r>
          </w:p>
        </w:tc>
        <w:tc>
          <w:tcPr>
            <w:tcW w:w="6398" w:type="dxa"/>
            <w:vAlign w:val="center"/>
          </w:tcPr>
          <w:p>
            <w:pPr>
              <w:keepNext w:val="0"/>
              <w:keepLines w:val="0"/>
              <w:suppressLineNumbers w:val="0"/>
              <w:spacing w:before="0" w:beforeAutospacing="0" w:after="0" w:afterAutospacing="0"/>
              <w:ind w:left="0" w:right="0"/>
              <w:rPr>
                <w:rFonts w:hint="default"/>
                <w:sz w:val="24"/>
              </w:rPr>
            </w:pPr>
            <w:r>
              <w:rPr>
                <w:rFonts w:hint="eastAsia" w:ascii="华文宋体" w:hAnsi="华文宋体" w:eastAsia="华文宋体" w:cs="华文宋体"/>
                <w:color w:val="000000"/>
                <w:sz w:val="24"/>
              </w:rPr>
              <w:t>根据电池电压设置</w:t>
            </w:r>
          </w:p>
        </w:tc>
      </w:tr>
    </w:tbl>
    <w:p>
      <w:pPr>
        <w:spacing w:line="360" w:lineRule="auto"/>
        <w:rPr>
          <w:rFonts w:hint="eastAsia" w:ascii="仿宋_GB2312" w:hAnsi="仿宋" w:eastAsia="仿宋_GB2312" w:cs="仿宋_GB2312"/>
          <w:sz w:val="34"/>
          <w:szCs w:val="34"/>
          <w:lang w:val="en-US" w:eastAsia="zh-CN"/>
        </w:rPr>
      </w:pP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rPr>
        <w:t>直流馈电单元</w:t>
      </w:r>
    </w:p>
    <w:p>
      <w:pPr>
        <w:spacing w:line="360" w:lineRule="auto"/>
        <w:ind w:firstLine="480"/>
        <w:rPr>
          <w:rFonts w:hint="default"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将直流输出电源分配到每一路输出。各直流输出支路采用相应规格的直流断路器（品牌选用ABB或施耐德），保证在直流侧故障时各支路能可靠分断。电压及电流信号的检测采用带隔离的器件或电路,保证了强弱点之间的可靠隔离。（控母12路，合母7路）</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需配置闪光单元,当控制开关与断路器位置不对应时，闪光母线接入负荷，闪光指示灯即开始闪动。</w:t>
      </w: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rPr>
        <w:t>降压单元</w:t>
      </w:r>
    </w:p>
    <w:p>
      <w:pPr>
        <w:spacing w:line="360" w:lineRule="auto"/>
        <w:ind w:firstLine="48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lang w:val="en-US" w:eastAsia="zh-CN"/>
        </w:rPr>
        <w:t>动力母线通过降压单元为控制母线提供基本稳定的电压。利用大功率整流二极管的PN结正向压降叠加来产生调整压降，相比于其他形式的控制母线电压调节方式,具有安全、可靠、抗电流冲击性好。可以自动或手动方式调节降压值。标称降压值35V/18V，单级降压值7Ｖ/4V（２20V/１10V）,额定电流2０A～80A可选。</w:t>
      </w:r>
    </w:p>
    <w:p>
      <w:pPr>
        <w:numPr>
          <w:ilvl w:val="0"/>
          <w:numId w:val="1"/>
        </w:numPr>
        <w:tabs>
          <w:tab w:val="left" w:pos="420"/>
        </w:tabs>
        <w:spacing w:line="360" w:lineRule="auto"/>
        <w:rPr>
          <w:rFonts w:hint="eastAsia"/>
          <w:b/>
          <w:sz w:val="24"/>
        </w:rPr>
      </w:pPr>
      <w:r>
        <w:rPr>
          <w:rFonts w:hint="eastAsia" w:ascii="华文宋体" w:hAnsi="华文宋体" w:eastAsia="华文宋体" w:cs="华文宋体"/>
          <w:b/>
          <w:color w:val="000000"/>
          <w:sz w:val="24"/>
        </w:rPr>
        <w:t>绝缘在线监测及接地检测装置</w:t>
      </w:r>
    </w:p>
    <w:p>
      <w:pPr>
        <w:pStyle w:val="20"/>
        <w:spacing w:before="0" w:after="0"/>
        <w:ind w:left="0" w:firstLine="480"/>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母线上需直流系统接地检测装置。实时检测正负母线对地电压、计算母线对地电阻，判断是否发生故障.当系统发生绝缘故障时投入低频交流信号,计算支路的对地电阻和分布电容。</w:t>
      </w:r>
    </w:p>
    <w:p>
      <w:pPr>
        <w:spacing w:line="600" w:lineRule="exact"/>
        <w:ind w:firstLine="680" w:firstLineChars="200"/>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两种工作状态:常规检测和支路巡检。在常规检测状态，绝缘监测仪实时监测正负母线对地电压,计算母线绝缘电阻，并与系统设定的值比较。当检测电阻小于设定值时，即认为绝缘故障,绝缘监测仪进入支路巡检状态，找出发生绝缘下降的支路,并计算支路的电阻值和支路分布电容值。可通过RS485通讯口与监控模块通讯.可监测一段独立的直流母线或单母线分段等情况。</w:t>
      </w:r>
    </w:p>
    <w:p>
      <w:pPr>
        <w:spacing w:line="600" w:lineRule="exact"/>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2.与高频开关直流屏配套的蓄电池的技术要求：</w:t>
      </w:r>
    </w:p>
    <w:p>
      <w:pPr>
        <w:spacing w:line="600" w:lineRule="exact"/>
        <w:ind w:firstLine="340" w:firstLineChars="100"/>
        <w:rPr>
          <w:rFonts w:ascii="仿宋_GB2312" w:hAnsi="仿宋" w:eastAsia="仿宋_GB2312" w:cs="仿宋_GB2312"/>
          <w:sz w:val="34"/>
          <w:szCs w:val="34"/>
        </w:rPr>
      </w:pPr>
      <w:r>
        <w:rPr>
          <w:rFonts w:hint="eastAsia" w:ascii="仿宋_GB2312" w:hAnsi="仿宋" w:eastAsia="仿宋_GB2312" w:cs="仿宋_GB2312"/>
          <w:sz w:val="34"/>
          <w:szCs w:val="34"/>
        </w:rPr>
        <w:t>电池品牌要求：</w:t>
      </w:r>
      <w:r>
        <w:rPr>
          <w:rFonts w:hint="eastAsia" w:ascii="仿宋_GB2312" w:hAnsi="仿宋" w:eastAsia="仿宋_GB2312" w:cs="仿宋_GB2312"/>
          <w:color w:val="C00000"/>
          <w:sz w:val="34"/>
          <w:szCs w:val="34"/>
        </w:rPr>
        <w:t>德克、友联(UNION)或荷贝克</w:t>
      </w:r>
      <w:r>
        <w:rPr>
          <w:rFonts w:hint="eastAsia" w:ascii="仿宋_GB2312" w:hAnsi="仿宋" w:eastAsia="仿宋_GB2312" w:cs="仿宋_GB2312"/>
          <w:sz w:val="34"/>
          <w:szCs w:val="34"/>
        </w:rPr>
        <w:t>，投标时须提供原厂证明材料。蓄电池需编号，正极线缆颜色赭色，负极蓝色。</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型式：固定型阀控密封式胶体铅酸蓄电池</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免维护保养。</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后备时间：60min（在额定负载功率情况下的放电时间）</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配</w:t>
      </w:r>
      <w:r>
        <w:rPr>
          <w:rFonts w:ascii="仿宋_GB2312" w:hAnsi="仿宋" w:eastAsia="仿宋_GB2312" w:cs="仿宋_GB2312"/>
          <w:sz w:val="34"/>
          <w:szCs w:val="34"/>
        </w:rPr>
        <w:t>智能电池管理</w:t>
      </w:r>
      <w:r>
        <w:rPr>
          <w:rFonts w:hint="eastAsia" w:ascii="仿宋_GB2312" w:hAnsi="仿宋" w:eastAsia="仿宋_GB2312" w:cs="仿宋_GB2312"/>
          <w:sz w:val="34"/>
          <w:szCs w:val="34"/>
        </w:rPr>
        <w:t>系统</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采用珠海派诺、维谛</w:t>
      </w:r>
      <w:r>
        <w:rPr>
          <w:rFonts w:ascii="仿宋_GB2312" w:hAnsi="仿宋" w:eastAsia="仿宋_GB2312" w:cs="仿宋_GB2312"/>
          <w:sz w:val="34"/>
          <w:szCs w:val="34"/>
        </w:rPr>
        <w:t>自动在线</w:t>
      </w:r>
      <w:r>
        <w:rPr>
          <w:rFonts w:hint="eastAsia" w:ascii="仿宋_GB2312" w:hAnsi="仿宋" w:eastAsia="仿宋_GB2312" w:cs="仿宋_GB2312"/>
          <w:sz w:val="34"/>
          <w:szCs w:val="34"/>
        </w:rPr>
        <w:t>监控系统</w:t>
      </w:r>
      <w:r>
        <w:rPr>
          <w:rFonts w:ascii="仿宋_GB2312" w:hAnsi="仿宋" w:eastAsia="仿宋_GB2312" w:cs="仿宋_GB2312"/>
          <w:sz w:val="34"/>
          <w:szCs w:val="34"/>
        </w:rPr>
        <w:t>，</w:t>
      </w:r>
      <w:r>
        <w:rPr>
          <w:rFonts w:hint="eastAsia" w:ascii="仿宋_GB2312" w:hAnsi="仿宋" w:eastAsia="仿宋_GB2312" w:cs="仿宋_GB2312"/>
          <w:sz w:val="34"/>
          <w:szCs w:val="34"/>
        </w:rPr>
        <w:t>自动判断</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蓄电池的在线状态，状态判断包括但不限于充电、放电、浮充等；能显示每节电池内阻、电压，具备通讯功能，能上传到招标方后台监控系统。能记录每节电池的数据：浮充电压，放电电压，内阻值，充放电电流以及电池温度；能图像化显示每节电池的各项参数历史曲线、单组所有电池的充、放电曲线图，并以此判断其使用状态与分析；自动记录所有蓄电池组、蓄电池在每一次充、放电时的电压曲线、电流曲线和温度曲线，以及时间记录；</w:t>
      </w:r>
      <w:r>
        <w:rPr>
          <w:rFonts w:ascii="仿宋_GB2312" w:hAnsi="仿宋" w:eastAsia="仿宋_GB2312" w:cs="仿宋_GB2312"/>
          <w:sz w:val="34"/>
          <w:szCs w:val="34"/>
        </w:rPr>
        <w:t>第三方接口协议是</w:t>
      </w:r>
      <w:r>
        <w:rPr>
          <w:rFonts w:hint="eastAsia" w:ascii="仿宋_GB2312" w:hAnsi="仿宋" w:eastAsia="仿宋_GB2312" w:cs="仿宋_GB2312"/>
          <w:sz w:val="34"/>
          <w:szCs w:val="34"/>
        </w:rPr>
        <w:t>ModbusTCP和Webservice协议接口；</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容量及数量：根据备用60分钟及</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相关技术参数进行合理配置，投标人在投标文件中必须提供电池容量计算书（投标人必须采用电池恒功率放电表的方法来计算电池容量）和电池放电数据曲线（或表格）。</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电池设计寿命：10年，质保5年。</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电池与电池连接电缆线必须采用铜芯阻燃软电缆，电池开关采用施耐德或者A</w:t>
      </w:r>
      <w:r>
        <w:rPr>
          <w:rFonts w:ascii="仿宋_GB2312" w:hAnsi="仿宋" w:eastAsia="仿宋_GB2312" w:cs="仿宋_GB2312"/>
          <w:sz w:val="34"/>
          <w:szCs w:val="34"/>
        </w:rPr>
        <w:t>BB</w:t>
      </w:r>
      <w:r>
        <w:rPr>
          <w:rFonts w:hint="eastAsia" w:ascii="仿宋_GB2312" w:hAnsi="仿宋" w:eastAsia="仿宋_GB2312" w:cs="仿宋_GB2312"/>
          <w:sz w:val="34"/>
          <w:szCs w:val="34"/>
        </w:rPr>
        <w:t>直流断路器。</w:t>
      </w:r>
    </w:p>
    <w:p>
      <w:pPr>
        <w:spacing w:line="360" w:lineRule="auto"/>
        <w:ind w:firstLine="680" w:firstLineChars="200"/>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电池智能管理模块保护巡检装置，需实现对每一单节电池管理均衡充电，不再因电池内阻的问题造成充电不均压的问题。并且因其独特的一对一管理特性，新旧电池可以实现同组共用。</w:t>
      </w:r>
    </w:p>
    <w:p>
      <w:pPr>
        <w:pStyle w:val="7"/>
        <w:keepNext w:val="0"/>
        <w:keepLines w:val="0"/>
        <w:widowControl w:val="0"/>
        <w:suppressLineNumbers w:val="0"/>
        <w:autoSpaceDE w:val="0"/>
        <w:autoSpaceDN w:val="0"/>
        <w:adjustRightInd w:val="0"/>
        <w:snapToGrid w:val="0"/>
        <w:spacing w:before="0" w:beforeAutospacing="0" w:after="0" w:afterAutospacing="0" w:line="300" w:lineRule="auto"/>
        <w:ind w:right="0" w:firstLine="680" w:firstLineChars="200"/>
        <w:jc w:val="left"/>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电池智能管理模块对每一节蓄电池均需配备一个管理模块，当直流系统内电池组一旦发生某一节电池开路或在线更换电池时，对应的智能管理模块充当对应电池的旁路装置，使整个直流电池组的电流通过智能管理模块旁路流过，不会影响整个电池组直流系统运行，保障了整个电池组直流操控系统安全运行。</w:t>
      </w:r>
    </w:p>
    <w:p>
      <w:pPr>
        <w:pStyle w:val="7"/>
        <w:keepNext w:val="0"/>
        <w:keepLines w:val="0"/>
        <w:widowControl w:val="0"/>
        <w:suppressLineNumbers w:val="0"/>
        <w:autoSpaceDE w:val="0"/>
        <w:autoSpaceDN w:val="0"/>
        <w:adjustRightInd w:val="0"/>
        <w:snapToGrid w:val="0"/>
        <w:spacing w:before="0" w:beforeAutospacing="0" w:after="0" w:afterAutospacing="0" w:line="300" w:lineRule="auto"/>
        <w:ind w:right="0" w:firstLine="680" w:firstLineChars="200"/>
        <w:jc w:val="left"/>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电池智能管理模块自动对电池进行非能量损失的放电活化管理，电池组充电及安全保护装置会根据各节电池的上传数据，自动通过直流触摸屏监控模块DSP处理芯片下发命令，停止某一充电模块充电模式。直流系统常规负荷的电流消耗既相当于对应电池进行了放电。放电一个周期后，DSP控制芯片投入该模块。再继续对其它模块活化，继而完成了电池组自动活化。避免电池长期浮充，延长电池寿命。所有智能模块和对应各节电池周而复始，完成整组电池组的电池活化。</w:t>
      </w:r>
    </w:p>
    <w:p>
      <w:pPr>
        <w:pStyle w:val="7"/>
        <w:keepNext w:val="0"/>
        <w:keepLines w:val="0"/>
        <w:widowControl w:val="0"/>
        <w:suppressLineNumbers w:val="0"/>
        <w:autoSpaceDE w:val="0"/>
        <w:autoSpaceDN w:val="0"/>
        <w:adjustRightInd w:val="0"/>
        <w:snapToGrid w:val="0"/>
        <w:spacing w:before="0" w:beforeAutospacing="0" w:after="0" w:afterAutospacing="0" w:line="300" w:lineRule="auto"/>
        <w:ind w:right="0" w:firstLine="340" w:firstLineChars="100"/>
        <w:jc w:val="left"/>
        <w:rPr>
          <w:rFonts w:hint="eastAsia" w:ascii="仿宋_GB2312" w:hAnsi="仿宋" w:eastAsia="仿宋_GB2312" w:cs="仿宋_GB2312"/>
          <w:kern w:val="2"/>
          <w:sz w:val="34"/>
          <w:szCs w:val="34"/>
          <w:lang w:val="en-US" w:eastAsia="zh-CN" w:bidi="ar-SA"/>
        </w:rPr>
      </w:pPr>
      <w:r>
        <w:rPr>
          <w:rFonts w:hint="eastAsia" w:ascii="仿宋_GB2312" w:hAnsi="仿宋" w:eastAsia="仿宋_GB2312" w:cs="仿宋_GB2312"/>
          <w:kern w:val="2"/>
          <w:sz w:val="34"/>
          <w:szCs w:val="34"/>
          <w:lang w:val="en-US" w:eastAsia="zh-CN" w:bidi="ar-SA"/>
        </w:rPr>
        <w:t>（如下图），</w:t>
      </w:r>
    </w:p>
    <w:p>
      <w:pPr>
        <w:pStyle w:val="7"/>
        <w:keepNext w:val="0"/>
        <w:keepLines w:val="0"/>
        <w:widowControl w:val="0"/>
        <w:suppressLineNumbers w:val="0"/>
        <w:spacing w:before="0" w:beforeAutospacing="0" w:after="0" w:afterAutospacing="0"/>
        <w:ind w:left="644"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spacing w:line="360" w:lineRule="auto"/>
        <w:ind w:firstLine="480"/>
        <w:rPr>
          <w:rFonts w:hint="eastAsia" w:ascii="仿宋_GB2312" w:hAnsi="仿宋" w:eastAsia="仿宋_GB2312" w:cs="仿宋_GB2312"/>
          <w:sz w:val="34"/>
          <w:szCs w:val="34"/>
          <w:lang w:val="en-US" w:eastAsia="zh-CN"/>
        </w:rPr>
      </w:pPr>
      <w:r>
        <w:rPr>
          <w:rFonts w:hint="default" w:ascii="Calibri" w:hAnsi="Calibri" w:eastAsia="宋体" w:cs="宋体"/>
          <w:kern w:val="2"/>
          <w:sz w:val="21"/>
          <w:szCs w:val="21"/>
          <w:lang w:val="en-US" w:eastAsia="zh-CN" w:bidi="ar"/>
        </w:rPr>
        <w:drawing>
          <wp:inline distT="0" distB="0" distL="114300" distR="114300">
            <wp:extent cx="4375150" cy="2334260"/>
            <wp:effectExtent l="0" t="0" r="6350" b="889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5"/>
                    <a:stretch>
                      <a:fillRect/>
                    </a:stretch>
                  </pic:blipFill>
                  <pic:spPr>
                    <a:xfrm>
                      <a:off x="0" y="0"/>
                      <a:ext cx="4375150" cy="2334260"/>
                    </a:xfrm>
                    <a:prstGeom prst="rect">
                      <a:avLst/>
                    </a:prstGeom>
                    <a:noFill/>
                    <a:ln w="9525">
                      <a:noFill/>
                    </a:ln>
                  </pic:spPr>
                </pic:pic>
              </a:graphicData>
            </a:graphic>
          </wp:inline>
        </w:drawing>
      </w: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sz w:val="34"/>
          <w:szCs w:val="34"/>
        </w:rPr>
      </w:pPr>
      <w:r>
        <w:rPr>
          <w:rFonts w:hint="eastAsia" w:ascii="仿宋_GB2312" w:hAnsi="仿宋" w:eastAsia="仿宋_GB2312" w:cs="仿宋_GB2312"/>
          <w:kern w:val="2"/>
          <w:sz w:val="34"/>
          <w:szCs w:val="34"/>
          <w:lang w:val="en-US" w:eastAsia="zh-CN" w:bidi="ar-SA"/>
        </w:rPr>
        <w:t>电池组充电及智能管理模块参数如下：</w:t>
      </w:r>
    </w:p>
    <w:tbl>
      <w:tblPr>
        <w:tblStyle w:val="10"/>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8"/>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对应电池容量</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100AH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8789" w:type="dxa"/>
            <w:gridSpan w:val="2"/>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输入指标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输入相数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三相4线（3Φ+N）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输入额定电压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380 Vac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输入电压可变范围</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输入频率变化范围</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（50）±5Hz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输入功率因数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单节电池电压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电池节数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12V/18节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8789" w:type="dxa"/>
            <w:gridSpan w:val="2"/>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单只智能管理模块参数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DC245V      范围    DC210V-DC268V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输入电流</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输出电压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DC0V—DC14.5V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输出电流</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0A-10A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稳压精度： </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&lt;±0.5%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纹波系数： </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&lt;0.5%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功率因数：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可闻噪声：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不大于50Db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温度： </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工作-10℃～50℃    储存-20℃～55℃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蓄电池容量范围</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65Ah-100Ah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旁路供电能力</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单节电池开路时，可长期过载；</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单节电池容量降低，智能模块可持续提供供电；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789" w:type="dxa"/>
            <w:gridSpan w:val="2"/>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系统指标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4"/>
                <w:szCs w:val="24"/>
                <w:lang w:val="en-US" w:eastAsia="zh-CN" w:bidi="ar"/>
              </w:rPr>
              <w:t>系统电压：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额定直流220V     范围    DC198V-286V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系统效率</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切换时间</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模块数量</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根据直流系统电池节数，最多可做到104只模块同时工作</w:t>
            </w:r>
            <w:r>
              <w:rPr>
                <w:rFonts w:hint="eastAsia" w:ascii="宋体" w:hAnsi="宋体" w:eastAsia="宋体" w:cs="宋体"/>
                <w:kern w:val="2"/>
                <w:sz w:val="21"/>
                <w:szCs w:val="21"/>
                <w:lang w:val="en-US" w:eastAsia="zh-CN" w:bidi="ar"/>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保护功能</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输出过载保护，过温度保护，电池低压保护，输出过欠压保护等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通信接口</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标配： 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显    示</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电阻式智能触摸显示屏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逆变器功率</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cs="宋体"/>
                <w:kern w:val="2"/>
                <w:sz w:val="21"/>
                <w:szCs w:val="21"/>
                <w:lang w:val="en-US" w:eastAsia="zh-CN" w:bidi="ar"/>
              </w:rPr>
              <w:t>2</w:t>
            </w:r>
            <w:r>
              <w:rPr>
                <w:rFonts w:hint="eastAsia" w:ascii="宋体" w:hAnsi="宋体" w:eastAsia="宋体" w:cs="宋体"/>
                <w:kern w:val="2"/>
                <w:sz w:val="21"/>
                <w:szCs w:val="21"/>
                <w:lang w:val="en-US" w:eastAsia="zh-CN" w:bidi="ar"/>
              </w:rPr>
              <w:t>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DC220V      范围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输入电流</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1-5.0A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输出电压</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AC220V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输出电流</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1-5.0A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稳压精度： </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&lt;±0.5%</w:t>
            </w:r>
          </w:p>
        </w:tc>
      </w:tr>
    </w:tbl>
    <w:p>
      <w:pPr>
        <w:keepNext w:val="0"/>
        <w:keepLines w:val="0"/>
        <w:widowControl w:val="0"/>
        <w:suppressLineNumbers w:val="0"/>
        <w:spacing w:before="0" w:beforeAutospacing="0" w:after="0" w:afterAutospacing="0"/>
        <w:ind w:left="0" w:right="0"/>
        <w:jc w:val="both"/>
      </w:pPr>
    </w:p>
    <w:p>
      <w:pPr>
        <w:spacing w:line="600" w:lineRule="exact"/>
        <w:rPr>
          <w:rFonts w:hint="eastAsia"/>
          <w:sz w:val="24"/>
        </w:rPr>
      </w:pPr>
      <w:r>
        <w:rPr>
          <w:rFonts w:hint="eastAsia" w:ascii="仿宋_GB2312" w:hAnsi="仿宋" w:eastAsia="仿宋_GB2312" w:cs="仿宋_GB2312"/>
          <w:sz w:val="34"/>
          <w:szCs w:val="34"/>
          <w:lang w:val="en-US" w:eastAsia="zh-CN"/>
        </w:rPr>
        <w:t>3.高频开关直流屏的通信方式</w:t>
      </w:r>
    </w:p>
    <w:p>
      <w:pPr>
        <w:spacing w:line="600" w:lineRule="exact"/>
        <w:ind w:firstLine="340" w:firstLineChars="100"/>
        <w:rPr>
          <w:rFonts w:hint="eastAsia" w:ascii="仿宋_GB2312" w:hAnsi="仿宋" w:eastAsia="仿宋_GB2312" w:cs="仿宋_GB2312"/>
          <w:sz w:val="34"/>
          <w:szCs w:val="34"/>
        </w:rPr>
      </w:pPr>
      <w:r>
        <w:rPr>
          <w:rFonts w:hint="eastAsia" w:ascii="仿宋_GB2312" w:hAnsi="仿宋" w:eastAsia="仿宋_GB2312" w:cs="仿宋_GB2312"/>
          <w:sz w:val="34"/>
          <w:szCs w:val="34"/>
        </w:rPr>
        <w:t>选用RS485或232通信接口板满足</w:t>
      </w:r>
      <w:r>
        <w:rPr>
          <w:rFonts w:ascii="仿宋_GB2312" w:hAnsi="仿宋" w:eastAsia="仿宋_GB2312" w:cs="仿宋_GB2312"/>
          <w:sz w:val="34"/>
          <w:szCs w:val="34"/>
        </w:rPr>
        <w:t>ModBus</w:t>
      </w:r>
      <w:r>
        <w:rPr>
          <w:rFonts w:hint="eastAsia" w:ascii="仿宋_GB2312" w:hAnsi="仿宋" w:eastAsia="仿宋_GB2312" w:cs="仿宋_GB2312"/>
          <w:sz w:val="34"/>
          <w:szCs w:val="34"/>
        </w:rPr>
        <w:t>/JBUS</w:t>
      </w:r>
      <w:r>
        <w:rPr>
          <w:rFonts w:ascii="仿宋_GB2312" w:hAnsi="仿宋" w:eastAsia="仿宋_GB2312" w:cs="仿宋_GB2312"/>
          <w:sz w:val="34"/>
          <w:szCs w:val="34"/>
        </w:rPr>
        <w:t>通讯规约</w:t>
      </w:r>
      <w:r>
        <w:rPr>
          <w:rFonts w:hint="eastAsia" w:ascii="仿宋_GB2312" w:hAnsi="仿宋" w:eastAsia="仿宋_GB2312" w:cs="仿宋_GB2312"/>
          <w:sz w:val="34"/>
          <w:szCs w:val="34"/>
        </w:rPr>
        <w:t>，利用此板，操作人员可用</w:t>
      </w:r>
      <w:r>
        <w:rPr>
          <w:rFonts w:ascii="仿宋_GB2312" w:hAnsi="仿宋" w:eastAsia="仿宋_GB2312" w:cs="仿宋_GB2312"/>
          <w:sz w:val="34"/>
          <w:szCs w:val="34"/>
        </w:rPr>
        <w:t>ModBus</w:t>
      </w:r>
      <w:r>
        <w:rPr>
          <w:rFonts w:hint="eastAsia" w:ascii="仿宋_GB2312" w:hAnsi="仿宋" w:eastAsia="仿宋_GB2312" w:cs="仿宋_GB2312"/>
          <w:sz w:val="34"/>
          <w:szCs w:val="34"/>
        </w:rPr>
        <w:t>/JBUS</w:t>
      </w:r>
      <w:r>
        <w:rPr>
          <w:rFonts w:ascii="仿宋_GB2312" w:hAnsi="仿宋" w:eastAsia="仿宋_GB2312" w:cs="仿宋_GB2312"/>
          <w:sz w:val="34"/>
          <w:szCs w:val="34"/>
        </w:rPr>
        <w:t>通讯</w:t>
      </w:r>
      <w:r>
        <w:rPr>
          <w:rFonts w:hint="eastAsia" w:ascii="仿宋_GB2312" w:hAnsi="仿宋" w:eastAsia="仿宋_GB2312" w:cs="仿宋_GB2312"/>
          <w:sz w:val="34"/>
          <w:szCs w:val="34"/>
        </w:rPr>
        <w:t>协议提供的TCP/IP地址和数据表，对应用参数进行设置，通过网络将</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连接到一个集中管理系统。数据信号需正常与</w:t>
      </w:r>
      <w:r>
        <w:rPr>
          <w:rFonts w:hint="eastAsia" w:ascii="仿宋_GB2312" w:hAnsi="仿宋" w:eastAsia="仿宋_GB2312" w:cs="仿宋_GB2312"/>
          <w:sz w:val="34"/>
          <w:szCs w:val="34"/>
          <w:lang w:val="en-US" w:eastAsia="zh-CN"/>
        </w:rPr>
        <w:t>南京瑞电科技有限公司电气</w:t>
      </w:r>
      <w:r>
        <w:rPr>
          <w:rFonts w:hint="eastAsia" w:ascii="仿宋_GB2312" w:hAnsi="仿宋" w:eastAsia="仿宋_GB2312" w:cs="仿宋_GB2312"/>
          <w:sz w:val="34"/>
          <w:szCs w:val="34"/>
        </w:rPr>
        <w:t>后台监控系统连接。</w:t>
      </w:r>
    </w:p>
    <w:p>
      <w:pPr>
        <w:spacing w:line="600" w:lineRule="exact"/>
        <w:rPr>
          <w:rFonts w:hint="eastAsia" w:ascii="仿宋_GB2312" w:hAnsi="仿宋" w:eastAsia="仿宋_GB2312" w:cs="仿宋_GB2312"/>
          <w:sz w:val="34"/>
          <w:szCs w:val="34"/>
        </w:rPr>
      </w:pPr>
      <w:r>
        <w:rPr>
          <w:rFonts w:hint="eastAsia" w:ascii="仿宋_GB2312" w:hAnsi="仿宋" w:eastAsia="仿宋_GB2312" w:cs="仿宋_GB2312"/>
          <w:sz w:val="34"/>
          <w:szCs w:val="34"/>
          <w:lang w:val="en-US" w:eastAsia="zh-CN"/>
        </w:rPr>
        <w:t>4</w:t>
      </w:r>
      <w:r>
        <w:rPr>
          <w:rFonts w:hint="eastAsia" w:ascii="仿宋_GB2312" w:hAnsi="仿宋" w:eastAsia="仿宋_GB2312" w:cs="仿宋_GB2312"/>
          <w:sz w:val="34"/>
          <w:szCs w:val="34"/>
        </w:rPr>
        <w:t>.</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系统中机柜的防护等级</w:t>
      </w:r>
      <w:r>
        <w:rPr>
          <w:rFonts w:hint="eastAsia" w:ascii="仿宋_GB2312" w:hAnsi="仿宋" w:eastAsia="仿宋_GB2312" w:cs="仿宋_GB2312"/>
          <w:sz w:val="34"/>
          <w:szCs w:val="34"/>
          <w:lang w:val="en-US" w:eastAsia="zh-CN"/>
        </w:rPr>
        <w:t>为</w:t>
      </w:r>
      <w:r>
        <w:rPr>
          <w:rFonts w:hint="eastAsia" w:ascii="仿宋_GB2312" w:hAnsi="仿宋" w:eastAsia="仿宋_GB2312" w:cs="仿宋_GB2312"/>
          <w:sz w:val="34"/>
          <w:szCs w:val="34"/>
        </w:rPr>
        <w:t xml:space="preserve">IP2X </w:t>
      </w:r>
      <w:r>
        <w:rPr>
          <w:rFonts w:hint="eastAsia" w:ascii="仿宋_GB2312" w:hAnsi="仿宋" w:eastAsia="仿宋_GB2312" w:cs="仿宋_GB2312"/>
          <w:sz w:val="34"/>
          <w:szCs w:val="34"/>
          <w:lang w:eastAsia="zh-CN"/>
        </w:rPr>
        <w:t>，</w:t>
      </w:r>
      <w:r>
        <w:rPr>
          <w:rFonts w:hint="eastAsia" w:ascii="仿宋_GB2312" w:hAnsi="仿宋" w:eastAsia="仿宋_GB2312" w:cs="仿宋_GB2312"/>
          <w:sz w:val="34"/>
          <w:szCs w:val="34"/>
          <w:lang w:val="en-US" w:eastAsia="zh-CN"/>
        </w:rPr>
        <w:t>柜体尺寸800×600×2260 标准柜。</w:t>
      </w:r>
    </w:p>
    <w:p>
      <w:pPr>
        <w:spacing w:line="600" w:lineRule="exact"/>
        <w:rPr>
          <w:rFonts w:ascii="黑体" w:hAnsi="黑体" w:eastAsia="黑体"/>
          <w:sz w:val="34"/>
          <w:szCs w:val="34"/>
        </w:rPr>
      </w:pPr>
      <w:r>
        <w:rPr>
          <w:rFonts w:hint="eastAsia" w:ascii="黑体" w:hAnsi="黑体" w:eastAsia="黑体"/>
          <w:sz w:val="34"/>
          <w:szCs w:val="34"/>
        </w:rPr>
        <w:t>六、技术资料</w:t>
      </w:r>
    </w:p>
    <w:tbl>
      <w:tblPr>
        <w:tblStyle w:val="11"/>
        <w:tblW w:w="912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147"/>
        <w:gridCol w:w="645"/>
        <w:gridCol w:w="1185"/>
        <w:gridCol w:w="237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序号</w:t>
            </w:r>
          </w:p>
        </w:tc>
        <w:tc>
          <w:tcPr>
            <w:tcW w:w="3147"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技术资料名称</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数量</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文字</w:t>
            </w:r>
          </w:p>
        </w:tc>
        <w:tc>
          <w:tcPr>
            <w:tcW w:w="2370"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提供日期</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1</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lang w:val="en-US" w:eastAsia="zh-CN"/>
              </w:rPr>
              <w:t>微机高频直流屏</w:t>
            </w:r>
            <w:r>
              <w:rPr>
                <w:rFonts w:hint="eastAsia" w:ascii="宋体" w:hAnsi="宋体"/>
                <w:sz w:val="24"/>
                <w:szCs w:val="24"/>
              </w:rPr>
              <w:t>系统电路图</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6份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签订合同后15天</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2</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平面布置图</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6份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签订合同后15天</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3</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基础图</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6份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签订合同后15天</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4</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接线图</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6份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签订合同后15天</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5</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安装手册</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4份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随货物一起提供</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6</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用户使用手册</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lang w:val="en-US" w:eastAsia="zh-CN"/>
              </w:rPr>
              <w:t>2</w:t>
            </w:r>
            <w:r>
              <w:rPr>
                <w:rFonts w:hint="eastAsia" w:ascii="宋体" w:hAnsi="宋体"/>
                <w:sz w:val="24"/>
                <w:szCs w:val="24"/>
              </w:rPr>
              <w:t>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随货物一起提供</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7</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出厂测试报告</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lang w:val="en-US" w:eastAsia="zh-CN"/>
              </w:rPr>
              <w:t>2</w:t>
            </w:r>
            <w:r>
              <w:rPr>
                <w:rFonts w:hint="eastAsia" w:ascii="宋体" w:hAnsi="宋体"/>
                <w:sz w:val="24"/>
                <w:szCs w:val="24"/>
              </w:rPr>
              <w:t>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随货物一起提供</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8</w:t>
            </w:r>
          </w:p>
        </w:tc>
        <w:tc>
          <w:tcPr>
            <w:tcW w:w="3147"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调试报告</w:t>
            </w:r>
          </w:p>
        </w:tc>
        <w:tc>
          <w:tcPr>
            <w:tcW w:w="64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4份</w:t>
            </w:r>
          </w:p>
        </w:tc>
        <w:tc>
          <w:tcPr>
            <w:tcW w:w="1185"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r>
              <w:rPr>
                <w:rFonts w:hint="eastAsia" w:ascii="宋体" w:hAnsi="宋体"/>
                <w:sz w:val="24"/>
                <w:szCs w:val="24"/>
              </w:rPr>
              <w:t>中文</w:t>
            </w:r>
          </w:p>
        </w:tc>
        <w:tc>
          <w:tcPr>
            <w:tcW w:w="2370" w:type="dxa"/>
            <w:vAlign w:val="center"/>
          </w:tcPr>
          <w:p>
            <w:pPr>
              <w:keepNext w:val="0"/>
              <w:keepLines w:val="0"/>
              <w:suppressLineNumbers w:val="0"/>
              <w:spacing w:before="0" w:beforeAutospacing="0" w:after="0" w:afterAutospacing="0" w:line="600" w:lineRule="exact"/>
              <w:ind w:left="0" w:right="0"/>
              <w:rPr>
                <w:rFonts w:hint="default" w:ascii="宋体" w:hAnsi="宋体"/>
                <w:sz w:val="24"/>
                <w:szCs w:val="24"/>
              </w:rPr>
            </w:pPr>
            <w:r>
              <w:rPr>
                <w:rFonts w:hint="eastAsia" w:ascii="宋体" w:hAnsi="宋体"/>
                <w:sz w:val="24"/>
                <w:szCs w:val="24"/>
              </w:rPr>
              <w:t>调试完毕后一周内提供</w:t>
            </w:r>
          </w:p>
        </w:tc>
        <w:tc>
          <w:tcPr>
            <w:tcW w:w="94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szCs w:val="24"/>
              </w:rPr>
            </w:pPr>
          </w:p>
        </w:tc>
      </w:tr>
    </w:tbl>
    <w:p>
      <w:pPr>
        <w:spacing w:line="600" w:lineRule="exact"/>
        <w:rPr>
          <w:rFonts w:ascii="黑体" w:hAnsi="黑体" w:eastAsia="黑体"/>
          <w:sz w:val="34"/>
          <w:szCs w:val="34"/>
        </w:rPr>
      </w:pPr>
      <w:r>
        <w:rPr>
          <w:rFonts w:hint="eastAsia" w:ascii="黑体" w:hAnsi="黑体" w:eastAsia="黑体"/>
          <w:sz w:val="34"/>
          <w:szCs w:val="34"/>
        </w:rPr>
        <w:t>七、培训</w:t>
      </w:r>
    </w:p>
    <w:p>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1</w:t>
      </w:r>
      <w:r>
        <w:rPr>
          <w:rFonts w:ascii="楷体_GB2312" w:hAnsi="仿宋" w:eastAsia="楷体_GB2312" w:cs="仿宋_GB2312"/>
          <w:sz w:val="34"/>
          <w:szCs w:val="34"/>
        </w:rPr>
        <w:t>.</w:t>
      </w:r>
      <w:r>
        <w:rPr>
          <w:rFonts w:hint="eastAsia" w:ascii="楷体_GB2312" w:hAnsi="仿宋" w:eastAsia="楷体_GB2312" w:cs="仿宋_GB2312"/>
          <w:sz w:val="34"/>
          <w:szCs w:val="34"/>
        </w:rPr>
        <w:t>现场培训</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时间：2-4小时</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地点：</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现场</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人数：由招标方自定</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内容：</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原理，</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性能特点，</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操作步骤，常见故障分析及处理</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授课人：</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制造商派出的工程师</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费用：免费</w:t>
      </w:r>
    </w:p>
    <w:p>
      <w:pPr>
        <w:spacing w:line="600" w:lineRule="exact"/>
        <w:rPr>
          <w:rFonts w:ascii="黑体" w:hAnsi="黑体" w:eastAsia="黑体"/>
          <w:sz w:val="34"/>
          <w:szCs w:val="34"/>
        </w:rPr>
      </w:pPr>
      <w:r>
        <w:rPr>
          <w:rFonts w:hint="eastAsia" w:ascii="黑体" w:hAnsi="黑体" w:eastAsia="黑体"/>
          <w:sz w:val="34"/>
          <w:szCs w:val="34"/>
        </w:rPr>
        <w:t>八、技术服务及备件</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制造商在长三角地区应有技术服务部。</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制造商在长三角地区必须有备品备件库，确保服务及时性。</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需提供安装调试。</w:t>
      </w:r>
    </w:p>
    <w:p>
      <w:pPr>
        <w:spacing w:line="600" w:lineRule="exact"/>
        <w:ind w:firstLine="680" w:firstLineChars="200"/>
        <w:rPr>
          <w:rFonts w:ascii="宋体" w:hAnsi="宋体"/>
          <w:sz w:val="24"/>
        </w:rPr>
      </w:pPr>
      <w:r>
        <w:rPr>
          <w:rFonts w:hint="eastAsia" w:ascii="仿宋_GB2312" w:hAnsi="仿宋" w:eastAsia="仿宋_GB2312" w:cs="仿宋_GB2312"/>
          <w:sz w:val="34"/>
          <w:szCs w:val="34"/>
        </w:rPr>
        <w:t>质保期：</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主机质保1年，电池的质保期5年，制造商须向直接用户提供终生技术服务的承诺书，技术服务响应时间：制造商的技术服务工程师须在12小时内到达</w:t>
      </w:r>
      <w:r>
        <w:rPr>
          <w:rFonts w:hint="eastAsia" w:ascii="仿宋_GB2312" w:hAnsi="仿宋" w:eastAsia="仿宋_GB2312" w:cs="仿宋_GB2312"/>
          <w:sz w:val="34"/>
          <w:szCs w:val="34"/>
          <w:lang w:val="en-US" w:eastAsia="zh-CN"/>
        </w:rPr>
        <w:t>高频开关直流屏</w:t>
      </w:r>
      <w:r>
        <w:rPr>
          <w:rFonts w:hint="eastAsia" w:ascii="仿宋_GB2312" w:hAnsi="仿宋" w:eastAsia="仿宋_GB2312" w:cs="仿宋_GB2312"/>
          <w:sz w:val="34"/>
          <w:szCs w:val="34"/>
        </w:rPr>
        <w:t>现场，24小时内修复并正式投运。</w:t>
      </w:r>
    </w:p>
    <w:p>
      <w:pPr>
        <w:spacing w:line="600" w:lineRule="exact"/>
      </w:pPr>
    </w:p>
    <w:p>
      <w:pPr>
        <w:spacing w:line="600" w:lineRule="exact"/>
        <w:rPr>
          <w:rFonts w:ascii="宋体"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长城仿宋">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decorative"/>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华文宋体">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4620680">
    <w:nsid w:val="050B3588"/>
    <w:multiLevelType w:val="multilevel"/>
    <w:tmpl w:val="050B3588"/>
    <w:lvl w:ilvl="0" w:tentative="1">
      <w:start w:val="1"/>
      <w:numFmt w:val="bullet"/>
      <w:lvlText w:val=""/>
      <w:lvlJc w:val="left"/>
      <w:pPr>
        <w:tabs>
          <w:tab w:val="left" w:pos="420"/>
        </w:tabs>
        <w:ind w:left="420" w:hanging="420"/>
      </w:pPr>
      <w:rPr>
        <w:rFonts w:hint="default" w:ascii="Wingdings" w:hAnsi="Wingdings"/>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num w:numId="1">
    <w:abstractNumId w:val="846206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jJlZTc0YmVlMTk2ZmFlODQ5MTlhMmUxN2U1ODNkZGMifQ=="/>
  </w:docVars>
  <w:rsids>
    <w:rsidRoot w:val="00020749"/>
    <w:rsid w:val="00020749"/>
    <w:rsid w:val="000405C6"/>
    <w:rsid w:val="000454C4"/>
    <w:rsid w:val="0007613C"/>
    <w:rsid w:val="000826D0"/>
    <w:rsid w:val="000A1662"/>
    <w:rsid w:val="000E5A7B"/>
    <w:rsid w:val="000F65F8"/>
    <w:rsid w:val="001224B5"/>
    <w:rsid w:val="00160710"/>
    <w:rsid w:val="001B469E"/>
    <w:rsid w:val="001E34A0"/>
    <w:rsid w:val="0022133E"/>
    <w:rsid w:val="00245576"/>
    <w:rsid w:val="00250B1F"/>
    <w:rsid w:val="00250CE2"/>
    <w:rsid w:val="00257661"/>
    <w:rsid w:val="00263484"/>
    <w:rsid w:val="00274197"/>
    <w:rsid w:val="00280E16"/>
    <w:rsid w:val="00294DD0"/>
    <w:rsid w:val="002E199D"/>
    <w:rsid w:val="00350781"/>
    <w:rsid w:val="003757E0"/>
    <w:rsid w:val="00385D6B"/>
    <w:rsid w:val="00393ACB"/>
    <w:rsid w:val="003B4BFB"/>
    <w:rsid w:val="003C7AE2"/>
    <w:rsid w:val="003D402C"/>
    <w:rsid w:val="0041538F"/>
    <w:rsid w:val="004257F6"/>
    <w:rsid w:val="004922A1"/>
    <w:rsid w:val="004A5432"/>
    <w:rsid w:val="004B425F"/>
    <w:rsid w:val="004C0DDF"/>
    <w:rsid w:val="004C6407"/>
    <w:rsid w:val="004F7940"/>
    <w:rsid w:val="005066EA"/>
    <w:rsid w:val="00521491"/>
    <w:rsid w:val="005258EA"/>
    <w:rsid w:val="005665F5"/>
    <w:rsid w:val="005802A1"/>
    <w:rsid w:val="005835A2"/>
    <w:rsid w:val="005C63BE"/>
    <w:rsid w:val="00622E1F"/>
    <w:rsid w:val="00630AE5"/>
    <w:rsid w:val="00695C61"/>
    <w:rsid w:val="006B4F93"/>
    <w:rsid w:val="006C2607"/>
    <w:rsid w:val="006D0C0F"/>
    <w:rsid w:val="006E2893"/>
    <w:rsid w:val="006F2642"/>
    <w:rsid w:val="00724B6F"/>
    <w:rsid w:val="00727A29"/>
    <w:rsid w:val="0073731D"/>
    <w:rsid w:val="00771028"/>
    <w:rsid w:val="00797274"/>
    <w:rsid w:val="007B3F74"/>
    <w:rsid w:val="007B5C69"/>
    <w:rsid w:val="007E4AEC"/>
    <w:rsid w:val="00831732"/>
    <w:rsid w:val="008353F1"/>
    <w:rsid w:val="008902ED"/>
    <w:rsid w:val="008B0CF5"/>
    <w:rsid w:val="008B30E7"/>
    <w:rsid w:val="008C0ECE"/>
    <w:rsid w:val="008F4AF0"/>
    <w:rsid w:val="0092027B"/>
    <w:rsid w:val="00925873"/>
    <w:rsid w:val="00973285"/>
    <w:rsid w:val="00973460"/>
    <w:rsid w:val="009923AA"/>
    <w:rsid w:val="009971EE"/>
    <w:rsid w:val="009A5488"/>
    <w:rsid w:val="009A5693"/>
    <w:rsid w:val="009B1B41"/>
    <w:rsid w:val="00A257FF"/>
    <w:rsid w:val="00A30688"/>
    <w:rsid w:val="00A57074"/>
    <w:rsid w:val="00A573D1"/>
    <w:rsid w:val="00A722ED"/>
    <w:rsid w:val="00A81F1C"/>
    <w:rsid w:val="00A9176F"/>
    <w:rsid w:val="00AA715B"/>
    <w:rsid w:val="00AA7245"/>
    <w:rsid w:val="00AB4FEB"/>
    <w:rsid w:val="00AF0018"/>
    <w:rsid w:val="00B138E9"/>
    <w:rsid w:val="00B47FF3"/>
    <w:rsid w:val="00B74FCE"/>
    <w:rsid w:val="00BB4C93"/>
    <w:rsid w:val="00BD01CA"/>
    <w:rsid w:val="00BE6087"/>
    <w:rsid w:val="00BE61D6"/>
    <w:rsid w:val="00C0064D"/>
    <w:rsid w:val="00C245F7"/>
    <w:rsid w:val="00C31ECF"/>
    <w:rsid w:val="00C445AC"/>
    <w:rsid w:val="00C62CEC"/>
    <w:rsid w:val="00CA08FC"/>
    <w:rsid w:val="00CA549D"/>
    <w:rsid w:val="00CC6B7F"/>
    <w:rsid w:val="00CF3706"/>
    <w:rsid w:val="00CF3CA6"/>
    <w:rsid w:val="00CF5A4B"/>
    <w:rsid w:val="00CF6F7E"/>
    <w:rsid w:val="00CF7FF0"/>
    <w:rsid w:val="00D11103"/>
    <w:rsid w:val="00D41D64"/>
    <w:rsid w:val="00D9380B"/>
    <w:rsid w:val="00D95992"/>
    <w:rsid w:val="00D97E8E"/>
    <w:rsid w:val="00DA310D"/>
    <w:rsid w:val="00DB21C2"/>
    <w:rsid w:val="00DD3A94"/>
    <w:rsid w:val="00E0066E"/>
    <w:rsid w:val="00E257BD"/>
    <w:rsid w:val="00E7097C"/>
    <w:rsid w:val="00E71AFA"/>
    <w:rsid w:val="00E77E3D"/>
    <w:rsid w:val="00ED1C4F"/>
    <w:rsid w:val="00ED335B"/>
    <w:rsid w:val="00EE308E"/>
    <w:rsid w:val="00EF678C"/>
    <w:rsid w:val="00F03ACC"/>
    <w:rsid w:val="00F0407C"/>
    <w:rsid w:val="00F133F3"/>
    <w:rsid w:val="00F51F3A"/>
    <w:rsid w:val="00F74889"/>
    <w:rsid w:val="00F87653"/>
    <w:rsid w:val="00FA07A9"/>
    <w:rsid w:val="00FA5FCD"/>
    <w:rsid w:val="00FC0CFC"/>
    <w:rsid w:val="030E4CDF"/>
    <w:rsid w:val="035E47A1"/>
    <w:rsid w:val="03FE6752"/>
    <w:rsid w:val="072F5D98"/>
    <w:rsid w:val="086B76D3"/>
    <w:rsid w:val="0F2F1AE7"/>
    <w:rsid w:val="10DC1574"/>
    <w:rsid w:val="10F64EE6"/>
    <w:rsid w:val="1659704F"/>
    <w:rsid w:val="17017F86"/>
    <w:rsid w:val="17DF1494"/>
    <w:rsid w:val="18DA56D8"/>
    <w:rsid w:val="1FA45B7E"/>
    <w:rsid w:val="26635ED6"/>
    <w:rsid w:val="26BA4BF3"/>
    <w:rsid w:val="27595274"/>
    <w:rsid w:val="2855533A"/>
    <w:rsid w:val="302E0F46"/>
    <w:rsid w:val="31644F41"/>
    <w:rsid w:val="34457057"/>
    <w:rsid w:val="35A970FA"/>
    <w:rsid w:val="371F5B92"/>
    <w:rsid w:val="37A23857"/>
    <w:rsid w:val="3BCE3988"/>
    <w:rsid w:val="3C314553"/>
    <w:rsid w:val="3DD6159C"/>
    <w:rsid w:val="40DE2175"/>
    <w:rsid w:val="4183246F"/>
    <w:rsid w:val="423529DD"/>
    <w:rsid w:val="42ED684B"/>
    <w:rsid w:val="475B7CC4"/>
    <w:rsid w:val="50AB6A29"/>
    <w:rsid w:val="50F1593B"/>
    <w:rsid w:val="56FF0A48"/>
    <w:rsid w:val="5AB248C8"/>
    <w:rsid w:val="5C1D44E7"/>
    <w:rsid w:val="5F407DEB"/>
    <w:rsid w:val="5FFD2D72"/>
    <w:rsid w:val="63E2369B"/>
    <w:rsid w:val="6AA86825"/>
    <w:rsid w:val="6E5E0E69"/>
    <w:rsid w:val="722A4E10"/>
    <w:rsid w:val="7294672D"/>
    <w:rsid w:val="74116033"/>
    <w:rsid w:val="766878D1"/>
    <w:rsid w:val="7949798A"/>
    <w:rsid w:val="7C6804E2"/>
    <w:rsid w:val="7F1D6B1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10">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1"/>
    <w:pPr>
      <w:ind w:left="258"/>
    </w:pPr>
    <w:rPr>
      <w:sz w:val="24"/>
      <w:szCs w:val="24"/>
    </w:rPr>
  </w:style>
  <w:style w:type="paragraph" w:styleId="3">
    <w:name w:val="Body Text Indent"/>
    <w:basedOn w:val="1"/>
    <w:qFormat/>
    <w:uiPriority w:val="0"/>
    <w:pPr>
      <w:spacing w:line="360" w:lineRule="auto"/>
      <w:ind w:firstLine="570"/>
    </w:pPr>
    <w:rPr>
      <w:sz w:val="24"/>
    </w:rPr>
  </w:style>
  <w:style w:type="paragraph" w:styleId="4">
    <w:name w:val="Balloon Text"/>
    <w:basedOn w:val="1"/>
    <w:link w:val="18"/>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0"/>
    <w:rPr>
      <w:sz w:val="24"/>
    </w:rPr>
  </w:style>
  <w:style w:type="character" w:styleId="9">
    <w:name w:val="Emphasis"/>
    <w:basedOn w:val="8"/>
    <w:qFormat/>
    <w:uiPriority w:val="0"/>
    <w:rPr>
      <w:color w:val="CC0033"/>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13">
    <w:name w:val="xl174"/>
    <w:basedOn w:val="1"/>
    <w:qFormat/>
    <w:uiPriority w:val="0"/>
    <w:pPr>
      <w:widowControl/>
      <w:pBdr>
        <w:left w:val="single" w:color="auto" w:sz="8" w:space="0"/>
      </w:pBdr>
      <w:spacing w:before="100" w:beforeAutospacing="1" w:after="100" w:afterAutospacing="1"/>
      <w:jc w:val="center"/>
      <w:textAlignment w:val="center"/>
    </w:pPr>
    <w:rPr>
      <w:rFonts w:hint="eastAsia" w:ascii="宋体" w:hAnsi="宋体" w:cs="Arial Unicode MS"/>
      <w:b/>
      <w:bCs/>
      <w:kern w:val="0"/>
      <w:sz w:val="24"/>
      <w:szCs w:val="24"/>
    </w:rPr>
  </w:style>
  <w:style w:type="paragraph" w:customStyle="1" w:styleId="14">
    <w:name w:val="列出段落1"/>
    <w:basedOn w:val="1"/>
    <w:unhideWhenUsed/>
    <w:qFormat/>
    <w:uiPriority w:val="99"/>
    <w:pPr>
      <w:ind w:firstLine="420" w:firstLineChars="200"/>
    </w:pPr>
  </w:style>
  <w:style w:type="paragraph" w:customStyle="1" w:styleId="15">
    <w:name w:val="Table Paragraph"/>
    <w:basedOn w:val="1"/>
    <w:qFormat/>
    <w:uiPriority w:val="1"/>
    <w:pPr>
      <w:spacing w:before="73"/>
    </w:pPr>
  </w:style>
  <w:style w:type="character" w:customStyle="1" w:styleId="16">
    <w:name w:val="页眉 字符"/>
    <w:basedOn w:val="8"/>
    <w:link w:val="6"/>
    <w:qFormat/>
    <w:uiPriority w:val="0"/>
    <w:rPr>
      <w:kern w:val="2"/>
      <w:sz w:val="18"/>
      <w:szCs w:val="18"/>
    </w:rPr>
  </w:style>
  <w:style w:type="character" w:customStyle="1" w:styleId="17">
    <w:name w:val="页脚 字符"/>
    <w:basedOn w:val="8"/>
    <w:link w:val="5"/>
    <w:qFormat/>
    <w:uiPriority w:val="0"/>
    <w:rPr>
      <w:kern w:val="2"/>
      <w:sz w:val="18"/>
      <w:szCs w:val="18"/>
    </w:rPr>
  </w:style>
  <w:style w:type="character" w:customStyle="1" w:styleId="18">
    <w:name w:val="批注框文本 字符"/>
    <w:basedOn w:val="8"/>
    <w:link w:val="4"/>
    <w:uiPriority w:val="0"/>
    <w:rPr>
      <w:kern w:val="2"/>
      <w:sz w:val="18"/>
      <w:szCs w:val="18"/>
    </w:rPr>
  </w:style>
  <w:style w:type="paragraph" w:customStyle="1" w:styleId="19">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 w:type="paragraph" w:customStyle="1" w:styleId="20">
    <w:name w:val="正文文字1"/>
    <w:basedOn w:val="1"/>
    <w:qFormat/>
    <w:uiPriority w:val="0"/>
    <w:pPr>
      <w:autoSpaceDE w:val="0"/>
      <w:autoSpaceDN w:val="0"/>
      <w:adjustRightInd w:val="0"/>
      <w:spacing w:before="80" w:after="80" w:line="360" w:lineRule="auto"/>
      <w:ind w:left="1134"/>
    </w:pPr>
    <w:rPr>
      <w:kern w:val="0"/>
      <w:szCs w:val="20"/>
    </w:rPr>
  </w:style>
  <w:style w:type="paragraph" w:customStyle="1" w:styleId="21">
    <w:name w:val="Default Text"/>
    <w:basedOn w:val="1"/>
    <w:uiPriority w:val="0"/>
    <w:pPr>
      <w:autoSpaceDE w:val="0"/>
      <w:autoSpaceDN w:val="0"/>
      <w:adjustRightInd w:val="0"/>
      <w:jc w:val="left"/>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5185</Words>
  <Characters>5723</Characters>
  <Lines>30</Lines>
  <Paragraphs>8</Paragraphs>
  <ScaleCrop>false</ScaleCrop>
  <LinksUpToDate>false</LinksUpToDate>
  <CharactersWithSpaces>5794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2022-11-07T03:18:00Z</dcterms:created>
  <dc:creator>Administrator.BV88XMLU2OSR5FZ</dc:creator>
  <cp:lastModifiedBy>Administrator</cp:lastModifiedBy>
  <dcterms:modified xsi:type="dcterms:W3CDTF">2024-09-23T08:56:14Z</dcterms:modified>
  <dc:title>江苏索普化工股份有限公司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2DE114AA02554AEE92B7582FAE321FA3_12</vt:lpwstr>
  </property>
</Properties>
</file>