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E2C47">
      <w:pPr>
        <w:adjustRightInd w:val="0"/>
        <w:snapToGrid w:val="0"/>
        <w:spacing w:line="600" w:lineRule="exact"/>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江苏索普化工股份有限公司</w:t>
      </w:r>
    </w:p>
    <w:p w14:paraId="37CE07C8">
      <w:pPr>
        <w:adjustRightInd w:val="0"/>
        <w:snapToGrid w:val="0"/>
        <w:spacing w:line="600" w:lineRule="exact"/>
        <w:jc w:val="center"/>
        <w:rPr>
          <w:rFonts w:hint="default" w:ascii="方正小标宋简体" w:hAnsi="方正小标宋简体" w:eastAsia="方正小标宋简体" w:cs="方正小标宋简体"/>
          <w:bCs/>
          <w:color w:val="auto"/>
          <w:kern w:val="1"/>
          <w:sz w:val="44"/>
          <w:szCs w:val="44"/>
          <w:lang w:val="en-US" w:eastAsia="zh-CN"/>
        </w:rPr>
      </w:pPr>
      <w:r>
        <w:rPr>
          <w:rFonts w:hint="eastAsia" w:ascii="方正小标宋简体" w:hAnsi="方正小标宋简体" w:eastAsia="方正小标宋简体" w:cs="方正小标宋简体"/>
          <w:bCs/>
          <w:color w:val="auto"/>
          <w:kern w:val="1"/>
          <w:sz w:val="44"/>
          <w:szCs w:val="44"/>
          <w:lang w:val="en-US" w:eastAsia="zh-CN"/>
        </w:rPr>
        <w:t>公开采购询价书</w:t>
      </w:r>
    </w:p>
    <w:p w14:paraId="6E8483A3">
      <w:pPr>
        <w:adjustRightInd w:val="0"/>
        <w:snapToGrid w:val="0"/>
        <w:spacing w:line="600" w:lineRule="exact"/>
        <w:ind w:firstLine="480" w:firstLineChars="200"/>
        <w:jc w:val="left"/>
        <w:rPr>
          <w:rFonts w:hint="eastAsia" w:ascii="黑体" w:hAnsi="黑体" w:eastAsia="黑体" w:cs="黑体"/>
          <w:bCs/>
          <w:color w:val="auto"/>
          <w:sz w:val="24"/>
          <w:szCs w:val="24"/>
          <w:lang w:val="en-US" w:eastAsia="zh-CN"/>
        </w:rPr>
      </w:pPr>
      <w:r>
        <w:rPr>
          <w:color w:val="auto"/>
          <w:sz w:val="24"/>
        </w:rP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340995</wp:posOffset>
                </wp:positionV>
                <wp:extent cx="6008370" cy="930275"/>
                <wp:effectExtent l="4445" t="5080" r="6985" b="17145"/>
                <wp:wrapNone/>
                <wp:docPr id="1" name="矩形 50"/>
                <wp:cNvGraphicFramePr/>
                <a:graphic xmlns:a="http://schemas.openxmlformats.org/drawingml/2006/main">
                  <a:graphicData uri="http://schemas.microsoft.com/office/word/2010/wordprocessingShape">
                    <wps:wsp>
                      <wps:cNvSpPr/>
                      <wps:spPr>
                        <a:xfrm>
                          <a:off x="0" y="0"/>
                          <a:ext cx="6008370" cy="930275"/>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矩形 50" o:spid="_x0000_s1026" o:spt="1" style="position:absolute;left:0pt;margin-left:-7.85pt;margin-top:26.85pt;height:73.25pt;width:473.1pt;z-index:-251657216;mso-width-relative:page;mso-height-relative:page;" fillcolor="#FFFFFF" filled="t" stroked="t" coordsize="21600,21600" o:gfxdata="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4IplI2AAAAAoBAAAP&#10;AAAAAAAAAAEAIAAAACIAAABkcnMvZG93bnJldi54bWxQSwECFAAUAAAACACHTuJAb+60kxgCAABS&#10;BAAADgAAAAAAAAABACAAAAAnAQAAZHJzL2Uyb0RvYy54bWxQSwUGAAAAAAYABgBZAQAAsQUAAAAA&#10;">
                <v:fill on="t" focussize="0,0"/>
                <v:stroke color="#000000" joinstyle="miter"/>
                <v:imagedata o:title=""/>
                <o:lock v:ext="edit" aspectratio="f"/>
              </v:rect>
            </w:pict>
          </mc:Fallback>
        </mc:AlternateContent>
      </w:r>
    </w:p>
    <w:p w14:paraId="2E35EC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仿宋_GB2312" w:hAnsi="仿宋_GB2312" w:eastAsia="仿宋_GB2312" w:cs="仿宋_GB2312"/>
          <w:bCs/>
          <w:color w:val="auto"/>
          <w:sz w:val="24"/>
          <w:szCs w:val="24"/>
          <w:lang w:val="en-US" w:eastAsia="zh-CN"/>
        </w:rPr>
      </w:pPr>
      <w:r>
        <w:rPr>
          <w:rFonts w:hint="eastAsia" w:ascii="黑体" w:hAnsi="黑体" w:eastAsia="黑体" w:cs="黑体"/>
          <w:bCs/>
          <w:color w:val="auto"/>
          <w:sz w:val="24"/>
          <w:szCs w:val="24"/>
          <w:lang w:val="en-US" w:eastAsia="zh-CN"/>
        </w:rPr>
        <w:t>我公司实施公开采购，欢迎符合要求的厂商积极参与报价。如报价过程中遭遇借故刁难、索取贿赂、暗箱操作等违纪行为，可向我公司风险控制部如实反映并提供佐证材料。风险控制部投诉电话：</w:t>
      </w:r>
      <w:r>
        <w:rPr>
          <w:rFonts w:hint="eastAsia" w:ascii="黑体" w:hAnsi="黑体" w:eastAsia="黑体" w:cs="黑体"/>
          <w:bCs/>
          <w:color w:val="auto"/>
          <w:kern w:val="1"/>
          <w:sz w:val="24"/>
          <w:szCs w:val="24"/>
          <w:lang w:val="en-US" w:eastAsia="zh-CN"/>
        </w:rPr>
        <w:t>0511-88995150、88995690，投诉邮箱：116963626@qq.com。</w:t>
      </w:r>
    </w:p>
    <w:p w14:paraId="123A1ADD">
      <w:pPr>
        <w:adjustRightInd w:val="0"/>
        <w:snapToGrid w:val="0"/>
        <w:spacing w:line="600" w:lineRule="exact"/>
        <w:jc w:val="center"/>
        <w:rPr>
          <w:rFonts w:hint="eastAsia" w:ascii="方正小标宋简体" w:hAnsi="方正小标宋简体" w:eastAsia="方正小标宋简体" w:cs="方正小标宋简体"/>
          <w:bCs/>
          <w:color w:val="auto"/>
          <w:kern w:val="1"/>
          <w:sz w:val="44"/>
          <w:szCs w:val="44"/>
        </w:rPr>
      </w:pPr>
    </w:p>
    <w:p w14:paraId="3F28FE52">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我公司现需采购</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u w:val="single"/>
          <w:lang w:val="en-US" w:eastAsia="zh-CN"/>
        </w:rPr>
        <w:t>AA级</w:t>
      </w:r>
      <w:r>
        <w:rPr>
          <w:rFonts w:hint="eastAsia" w:ascii="仿宋" w:hAnsi="仿宋" w:eastAsia="仿宋" w:cs="仿宋"/>
          <w:bCs/>
          <w:color w:val="auto"/>
          <w:sz w:val="30"/>
          <w:szCs w:val="30"/>
          <w:u w:val="single"/>
          <w:lang w:val="en-US" w:eastAsia="zh-CN"/>
        </w:rPr>
        <w:t>信息化和工业化融合管理体系（以下简称：AA级两化融合管理体系）咨询和认证</w:t>
      </w:r>
      <w:r>
        <w:rPr>
          <w:rFonts w:hint="eastAsia" w:ascii="仿宋_GB2312" w:hAnsi="仿宋_GB2312" w:eastAsia="仿宋_GB2312" w:cs="仿宋_GB2312"/>
          <w:bCs/>
          <w:color w:val="auto"/>
          <w:sz w:val="30"/>
          <w:szCs w:val="30"/>
          <w:u w:val="single"/>
          <w:lang w:val="en-US" w:eastAsia="zh-CN"/>
        </w:rPr>
        <w:t>打包服务</w:t>
      </w: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auto"/>
          <w:sz w:val="30"/>
          <w:szCs w:val="30"/>
          <w:lang w:val="zh-CN"/>
        </w:rPr>
        <w:t>采用</w:t>
      </w:r>
      <w:r>
        <w:rPr>
          <w:rFonts w:hint="eastAsia" w:ascii="仿宋_GB2312" w:hAnsi="仿宋_GB2312" w:eastAsia="仿宋_GB2312" w:cs="仿宋_GB2312"/>
          <w:bCs/>
          <w:color w:val="auto"/>
          <w:sz w:val="30"/>
          <w:szCs w:val="30"/>
          <w:lang w:val="en-US" w:eastAsia="zh-CN"/>
        </w:rPr>
        <w:t>公开询比价</w:t>
      </w:r>
      <w:r>
        <w:rPr>
          <w:rFonts w:hint="eastAsia" w:ascii="仿宋_GB2312" w:hAnsi="仿宋_GB2312" w:eastAsia="仿宋_GB2312" w:cs="仿宋_GB2312"/>
          <w:bCs/>
          <w:color w:val="auto"/>
          <w:sz w:val="30"/>
          <w:szCs w:val="30"/>
          <w:lang w:val="zh-CN"/>
        </w:rPr>
        <w:t>的方式选定供应商，</w:t>
      </w:r>
      <w:r>
        <w:rPr>
          <w:rFonts w:hint="eastAsia" w:ascii="仿宋_GB2312" w:hAnsi="仿宋_GB2312" w:eastAsia="仿宋_GB2312" w:cs="仿宋_GB2312"/>
          <w:bCs/>
          <w:color w:val="auto"/>
          <w:sz w:val="30"/>
          <w:szCs w:val="30"/>
        </w:rPr>
        <w:t>特邀请贵单位参与</w:t>
      </w:r>
      <w:r>
        <w:rPr>
          <w:rFonts w:hint="eastAsia" w:ascii="仿宋_GB2312" w:hAnsi="仿宋_GB2312" w:eastAsia="仿宋_GB2312" w:cs="仿宋_GB2312"/>
          <w:bCs/>
          <w:color w:val="auto"/>
          <w:sz w:val="30"/>
          <w:szCs w:val="30"/>
          <w:lang w:val="en-US" w:eastAsia="zh-CN"/>
        </w:rPr>
        <w:t>报价</w:t>
      </w:r>
      <w:r>
        <w:rPr>
          <w:rFonts w:hint="eastAsia" w:ascii="仿宋_GB2312" w:hAnsi="仿宋_GB2312" w:eastAsia="仿宋_GB2312" w:cs="仿宋_GB2312"/>
          <w:bCs/>
          <w:color w:val="auto"/>
          <w:sz w:val="30"/>
          <w:szCs w:val="30"/>
        </w:rPr>
        <w:t>。</w:t>
      </w:r>
    </w:p>
    <w:p w14:paraId="3C8D54EB">
      <w:pPr>
        <w:adjustRightInd w:val="0"/>
        <w:snapToGrid w:val="0"/>
        <w:spacing w:line="600" w:lineRule="exact"/>
        <w:jc w:val="left"/>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
          <w:color w:val="auto"/>
          <w:sz w:val="30"/>
          <w:szCs w:val="30"/>
        </w:rPr>
        <w:t xml:space="preserve">  </w:t>
      </w: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
          <w:color w:val="auto"/>
          <w:sz w:val="30"/>
          <w:szCs w:val="30"/>
        </w:rPr>
        <w:t>一、</w:t>
      </w:r>
      <w:r>
        <w:rPr>
          <w:rFonts w:hint="eastAsia" w:ascii="仿宋_GB2312" w:hAnsi="仿宋_GB2312" w:eastAsia="仿宋_GB2312" w:cs="仿宋_GB2312"/>
          <w:b/>
          <w:color w:val="auto"/>
          <w:sz w:val="30"/>
          <w:szCs w:val="30"/>
          <w:lang w:val="en-US" w:eastAsia="zh-CN"/>
        </w:rPr>
        <w:t>公开询比价</w:t>
      </w:r>
      <w:r>
        <w:rPr>
          <w:rFonts w:hint="eastAsia" w:ascii="仿宋_GB2312" w:hAnsi="仿宋_GB2312" w:eastAsia="仿宋_GB2312" w:cs="仿宋_GB2312"/>
          <w:b/>
          <w:color w:val="auto"/>
          <w:sz w:val="30"/>
          <w:szCs w:val="30"/>
        </w:rPr>
        <w:t>概况：</w:t>
      </w:r>
    </w:p>
    <w:p w14:paraId="45243374">
      <w:pPr>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kern w:val="1"/>
          <w:sz w:val="30"/>
          <w:szCs w:val="30"/>
        </w:rPr>
        <w:t>（一）</w:t>
      </w:r>
      <w:r>
        <w:rPr>
          <w:rFonts w:hint="eastAsia" w:ascii="仿宋_GB2312" w:hAnsi="仿宋_GB2312" w:eastAsia="仿宋_GB2312" w:cs="仿宋_GB2312"/>
          <w:bCs/>
          <w:color w:val="auto"/>
          <w:sz w:val="30"/>
          <w:szCs w:val="30"/>
          <w:lang w:val="en-US" w:eastAsia="zh-CN"/>
        </w:rPr>
        <w:t>采购项目</w:t>
      </w:r>
      <w:r>
        <w:rPr>
          <w:rFonts w:hint="eastAsia" w:ascii="仿宋_GB2312" w:hAnsi="仿宋_GB2312" w:eastAsia="仿宋_GB2312" w:cs="仿宋_GB2312"/>
          <w:bCs/>
          <w:color w:val="auto"/>
          <w:sz w:val="30"/>
          <w:szCs w:val="30"/>
        </w:rPr>
        <w:t>名称：</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bCs/>
          <w:color w:val="auto"/>
          <w:sz w:val="30"/>
          <w:szCs w:val="30"/>
          <w:u w:val="single"/>
          <w:lang w:val="en-US" w:eastAsia="zh-CN"/>
        </w:rPr>
        <w:t>AA级</w:t>
      </w:r>
      <w:r>
        <w:rPr>
          <w:rFonts w:hint="eastAsia" w:ascii="仿宋" w:hAnsi="仿宋" w:eastAsia="仿宋" w:cs="仿宋"/>
          <w:bCs/>
          <w:color w:val="auto"/>
          <w:sz w:val="30"/>
          <w:szCs w:val="30"/>
          <w:u w:val="single"/>
          <w:lang w:val="en-US" w:eastAsia="zh-CN"/>
        </w:rPr>
        <w:t>两化融合管理体系咨询和认证打包</w:t>
      </w:r>
      <w:r>
        <w:rPr>
          <w:rFonts w:hint="eastAsia" w:ascii="仿宋_GB2312" w:hAnsi="仿宋_GB2312" w:eastAsia="仿宋_GB2312" w:cs="仿宋_GB2312"/>
          <w:bCs/>
          <w:color w:val="auto"/>
          <w:sz w:val="30"/>
          <w:szCs w:val="30"/>
          <w:u w:val="single"/>
          <w:lang w:val="en-US" w:eastAsia="zh-CN"/>
        </w:rPr>
        <w:t>服务</w:t>
      </w:r>
      <w:r>
        <w:rPr>
          <w:rFonts w:hint="eastAsia" w:ascii="仿宋_GB2312" w:hAnsi="仿宋_GB2312" w:eastAsia="仿宋_GB2312" w:cs="仿宋_GB2312"/>
          <w:bCs/>
          <w:color w:val="auto"/>
          <w:sz w:val="30"/>
          <w:szCs w:val="30"/>
        </w:rPr>
        <w:t>；</w:t>
      </w:r>
    </w:p>
    <w:p w14:paraId="2A99A52D">
      <w:pPr>
        <w:adjustRightInd w:val="0"/>
        <w:snapToGrid w:val="0"/>
        <w:spacing w:line="600" w:lineRule="exact"/>
        <w:ind w:firstLine="600" w:firstLineChars="200"/>
        <w:rPr>
          <w:rFonts w:hint="default"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rPr>
        <w:t>（二）交货时间：</w:t>
      </w:r>
      <w:r>
        <w:rPr>
          <w:rFonts w:hint="eastAsia" w:ascii="仿宋_GB2312" w:hAnsi="仿宋_GB2312" w:eastAsia="仿宋_GB2312" w:cs="仿宋_GB2312"/>
          <w:bCs/>
          <w:color w:val="auto"/>
          <w:sz w:val="30"/>
          <w:szCs w:val="30"/>
          <w:u w:val="single"/>
          <w:lang w:val="en-US" w:eastAsia="zh-CN"/>
        </w:rPr>
        <w:t>在2025年3月9日我公司AA级两化融合体系证书到期前，辅导江苏索普化工股份有限公司（以下简称江苏索普）通过最新的AA级两化融合管理体系评定并获得证书</w:t>
      </w:r>
      <w:r>
        <w:rPr>
          <w:rFonts w:hint="eastAsia" w:ascii="仿宋_GB2312" w:hAnsi="仿宋_GB2312" w:eastAsia="仿宋_GB2312" w:cs="仿宋_GB2312"/>
          <w:bCs/>
          <w:color w:val="auto"/>
          <w:sz w:val="30"/>
          <w:szCs w:val="30"/>
          <w:u w:val="single"/>
        </w:rPr>
        <w:t>；</w:t>
      </w:r>
      <w:r>
        <w:rPr>
          <w:rFonts w:hint="eastAsia" w:ascii="仿宋_GB2312" w:hAnsi="仿宋_GB2312" w:eastAsia="仿宋_GB2312" w:cs="仿宋_GB2312"/>
          <w:bCs/>
          <w:color w:val="auto"/>
          <w:sz w:val="30"/>
          <w:szCs w:val="30"/>
          <w:u w:val="single"/>
          <w:lang w:val="en-US" w:eastAsia="zh-CN"/>
        </w:rPr>
        <w:t>在证书的三年有效期内对我公司两次体系监督进行辅导，并通过审核。</w:t>
      </w:r>
    </w:p>
    <w:p w14:paraId="5AB21A03">
      <w:pPr>
        <w:adjustRightInd w:val="0"/>
        <w:snapToGrid w:val="0"/>
        <w:spacing w:line="600" w:lineRule="exact"/>
        <w:ind w:firstLine="579" w:firstLineChars="193"/>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kern w:val="1"/>
          <w:sz w:val="30"/>
          <w:szCs w:val="30"/>
        </w:rPr>
        <w:t>（三）</w:t>
      </w:r>
      <w:r>
        <w:rPr>
          <w:rFonts w:hint="eastAsia" w:ascii="仿宋_GB2312" w:hAnsi="仿宋_GB2312" w:eastAsia="仿宋_GB2312" w:cs="仿宋_GB2312"/>
          <w:bCs/>
          <w:color w:val="auto"/>
          <w:sz w:val="30"/>
          <w:szCs w:val="30"/>
        </w:rPr>
        <w:t>交货地点：</w:t>
      </w:r>
      <w:r>
        <w:rPr>
          <w:rFonts w:hint="eastAsia" w:ascii="仿宋_GB2312" w:hAnsi="仿宋_GB2312" w:eastAsia="仿宋_GB2312" w:cs="仿宋_GB2312"/>
          <w:bCs/>
          <w:color w:val="auto"/>
          <w:sz w:val="30"/>
          <w:szCs w:val="30"/>
          <w:u w:val="single"/>
        </w:rPr>
        <w:t xml:space="preserve">   江苏索普化工股份有限公司  </w:t>
      </w:r>
      <w:r>
        <w:rPr>
          <w:rFonts w:hint="eastAsia" w:ascii="仿宋_GB2312" w:hAnsi="仿宋_GB2312" w:eastAsia="仿宋_GB2312" w:cs="仿宋_GB2312"/>
          <w:bCs/>
          <w:color w:val="auto"/>
          <w:sz w:val="30"/>
          <w:szCs w:val="30"/>
        </w:rPr>
        <w:t>；</w:t>
      </w:r>
    </w:p>
    <w:p w14:paraId="2ED3144A">
      <w:pPr>
        <w:adjustRightInd w:val="0"/>
        <w:snapToGrid w:val="0"/>
        <w:spacing w:line="600" w:lineRule="exact"/>
        <w:jc w:val="left"/>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Cs/>
          <w:color w:val="auto"/>
          <w:kern w:val="1"/>
          <w:sz w:val="30"/>
          <w:szCs w:val="30"/>
        </w:rPr>
        <w:t>（四）</w:t>
      </w:r>
      <w:r>
        <w:rPr>
          <w:rFonts w:hint="eastAsia" w:ascii="仿宋_GB2312" w:hAnsi="仿宋_GB2312" w:eastAsia="仿宋_GB2312" w:cs="仿宋_GB2312"/>
          <w:bCs/>
          <w:color w:val="auto"/>
          <w:sz w:val="30"/>
          <w:szCs w:val="30"/>
          <w:lang w:val="en-US" w:eastAsia="zh-CN"/>
        </w:rPr>
        <w:t>报价</w:t>
      </w:r>
      <w:r>
        <w:rPr>
          <w:rFonts w:hint="eastAsia" w:ascii="仿宋_GB2312" w:hAnsi="仿宋_GB2312" w:eastAsia="仿宋_GB2312" w:cs="仿宋_GB2312"/>
          <w:bCs/>
          <w:color w:val="auto"/>
          <w:sz w:val="30"/>
          <w:szCs w:val="30"/>
        </w:rPr>
        <w:t>截止时间202</w:t>
      </w:r>
      <w:r>
        <w:rPr>
          <w:rFonts w:hint="eastAsia" w:ascii="仿宋_GB2312" w:hAnsi="仿宋_GB2312" w:eastAsia="仿宋_GB2312" w:cs="仿宋_GB2312"/>
          <w:bCs/>
          <w:color w:val="auto"/>
          <w:sz w:val="30"/>
          <w:szCs w:val="30"/>
          <w:lang w:val="en-US" w:eastAsia="zh-CN"/>
        </w:rPr>
        <w:t>4</w:t>
      </w:r>
      <w:r>
        <w:rPr>
          <w:rFonts w:hint="eastAsia" w:ascii="仿宋_GB2312" w:hAnsi="仿宋_GB2312" w:eastAsia="仿宋_GB2312" w:cs="仿宋_GB2312"/>
          <w:bCs/>
          <w:color w:val="auto"/>
          <w:sz w:val="30"/>
          <w:szCs w:val="30"/>
        </w:rPr>
        <w:t>年</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10</w:t>
      </w:r>
      <w:r>
        <w:rPr>
          <w:rFonts w:hint="eastAsia" w:ascii="仿宋_GB2312" w:hAnsi="仿宋_GB2312" w:eastAsia="仿宋_GB2312" w:cs="仿宋_GB2312"/>
          <w:bCs/>
          <w:color w:val="auto"/>
          <w:sz w:val="30"/>
          <w:szCs w:val="30"/>
          <w:highlight w:val="none"/>
        </w:rPr>
        <w:t>月</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22</w:t>
      </w:r>
      <w:r>
        <w:rPr>
          <w:rFonts w:hint="eastAsia" w:ascii="仿宋_GB2312" w:hAnsi="仿宋_GB2312" w:eastAsia="仿宋_GB2312" w:cs="仿宋_GB2312"/>
          <w:bCs/>
          <w:color w:val="auto"/>
          <w:sz w:val="30"/>
          <w:szCs w:val="30"/>
          <w:highlight w:val="none"/>
        </w:rPr>
        <w:t>日</w:t>
      </w:r>
      <w:r>
        <w:rPr>
          <w:rFonts w:hint="eastAsia" w:ascii="仿宋_GB2312" w:hAnsi="仿宋_GB2312" w:eastAsia="仿宋_GB2312" w:cs="仿宋_GB2312"/>
          <w:bCs/>
          <w:color w:val="auto"/>
          <w:sz w:val="30"/>
          <w:szCs w:val="30"/>
          <w:highlight w:val="none"/>
          <w:u w:val="single"/>
        </w:rPr>
        <w:t xml:space="preserve"> 14 </w:t>
      </w:r>
      <w:r>
        <w:rPr>
          <w:rFonts w:hint="eastAsia" w:ascii="仿宋_GB2312" w:hAnsi="仿宋_GB2312" w:eastAsia="仿宋_GB2312" w:cs="仿宋_GB2312"/>
          <w:bCs/>
          <w:color w:val="auto"/>
          <w:sz w:val="30"/>
          <w:szCs w:val="30"/>
          <w:highlight w:val="none"/>
        </w:rPr>
        <w:t>时（北京时间）；</w:t>
      </w:r>
    </w:p>
    <w:p w14:paraId="5B483DC2">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highlight w:val="none"/>
        </w:rPr>
        <w:t>（五）</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highlight w:val="none"/>
        </w:rPr>
        <w:t>时间</w:t>
      </w:r>
      <w:r>
        <w:rPr>
          <w:rFonts w:hint="eastAsia" w:ascii="仿宋_GB2312" w:hAnsi="仿宋_GB2312" w:eastAsia="仿宋_GB2312" w:cs="仿宋_GB2312"/>
          <w:bCs/>
          <w:color w:val="auto"/>
          <w:sz w:val="30"/>
          <w:szCs w:val="30"/>
          <w:highlight w:val="none"/>
        </w:rPr>
        <w:t>202</w:t>
      </w:r>
      <w:r>
        <w:rPr>
          <w:rFonts w:hint="eastAsia" w:ascii="仿宋_GB2312" w:hAnsi="仿宋_GB2312" w:eastAsia="仿宋_GB2312" w:cs="仿宋_GB2312"/>
          <w:bCs/>
          <w:color w:val="auto"/>
          <w:sz w:val="30"/>
          <w:szCs w:val="30"/>
          <w:highlight w:val="none"/>
          <w:lang w:val="en-US" w:eastAsia="zh-CN"/>
        </w:rPr>
        <w:t>4</w:t>
      </w:r>
      <w:r>
        <w:rPr>
          <w:rFonts w:hint="eastAsia" w:ascii="仿宋_GB2312" w:hAnsi="仿宋_GB2312" w:eastAsia="仿宋_GB2312" w:cs="仿宋_GB2312"/>
          <w:bCs/>
          <w:color w:val="auto"/>
          <w:sz w:val="30"/>
          <w:szCs w:val="30"/>
          <w:highlight w:val="none"/>
        </w:rPr>
        <w:t>年</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10</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rPr>
        <w:t>月</w:t>
      </w:r>
      <w:r>
        <w:rPr>
          <w:rFonts w:hint="eastAsia" w:ascii="仿宋_GB2312" w:hAnsi="仿宋_GB2312" w:eastAsia="仿宋_GB2312" w:cs="仿宋_GB2312"/>
          <w:bCs/>
          <w:color w:val="auto"/>
          <w:sz w:val="30"/>
          <w:szCs w:val="30"/>
          <w:highlight w:val="none"/>
          <w:u w:val="single"/>
        </w:rPr>
        <w:t xml:space="preserve"> </w:t>
      </w:r>
      <w:r>
        <w:rPr>
          <w:rFonts w:hint="eastAsia" w:ascii="仿宋_GB2312" w:hAnsi="仿宋_GB2312" w:eastAsia="仿宋_GB2312" w:cs="仿宋_GB2312"/>
          <w:bCs/>
          <w:color w:val="auto"/>
          <w:sz w:val="30"/>
          <w:szCs w:val="30"/>
          <w:highlight w:val="none"/>
          <w:u w:val="single"/>
          <w:lang w:val="en-US" w:eastAsia="zh-CN"/>
        </w:rPr>
        <w:t>22</w:t>
      </w:r>
      <w:r>
        <w:rPr>
          <w:rFonts w:hint="eastAsia" w:ascii="仿宋_GB2312" w:hAnsi="仿宋_GB2312" w:eastAsia="仿宋_GB2312" w:cs="仿宋_GB2312"/>
          <w:bCs/>
          <w:color w:val="auto"/>
          <w:sz w:val="30"/>
          <w:szCs w:val="30"/>
          <w:highlight w:val="none"/>
        </w:rPr>
        <w:t>日</w:t>
      </w:r>
      <w:r>
        <w:rPr>
          <w:rFonts w:hint="eastAsia" w:ascii="仿宋_GB2312" w:hAnsi="仿宋_GB2312" w:eastAsia="仿宋_GB2312" w:cs="仿宋_GB2312"/>
          <w:bCs/>
          <w:color w:val="auto"/>
          <w:sz w:val="30"/>
          <w:szCs w:val="30"/>
          <w:u w:val="single"/>
        </w:rPr>
        <w:t xml:space="preserve"> 14  </w:t>
      </w:r>
      <w:r>
        <w:rPr>
          <w:rFonts w:hint="eastAsia" w:ascii="仿宋_GB2312" w:hAnsi="仿宋_GB2312" w:eastAsia="仿宋_GB2312" w:cs="仿宋_GB2312"/>
          <w:bCs/>
          <w:color w:val="auto"/>
          <w:sz w:val="30"/>
          <w:szCs w:val="30"/>
        </w:rPr>
        <w:t>时（北京时间）</w:t>
      </w:r>
      <w:r>
        <w:rPr>
          <w:rFonts w:hint="eastAsia" w:ascii="仿宋_GB2312" w:hAnsi="仿宋_GB2312" w:eastAsia="仿宋_GB2312" w:cs="仿宋_GB2312"/>
          <w:bCs/>
          <w:color w:val="auto"/>
          <w:kern w:val="1"/>
          <w:sz w:val="30"/>
          <w:szCs w:val="30"/>
        </w:rPr>
        <w:t>；</w:t>
      </w:r>
    </w:p>
    <w:p w14:paraId="60307B3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（六）</w:t>
      </w:r>
      <w:r>
        <w:rPr>
          <w:rFonts w:hint="eastAsia" w:ascii="仿宋_GB2312" w:hAnsi="仿宋_GB2312" w:eastAsia="仿宋_GB2312" w:cs="仿宋_GB2312"/>
          <w:bCs/>
          <w:color w:val="auto"/>
          <w:kern w:val="1"/>
          <w:sz w:val="30"/>
          <w:szCs w:val="30"/>
          <w:highlight w:val="none"/>
          <w:lang w:val="en-US" w:eastAsia="zh-CN"/>
        </w:rPr>
        <w:t>评审</w:t>
      </w:r>
      <w:r>
        <w:rPr>
          <w:rFonts w:hint="eastAsia" w:ascii="仿宋_GB2312" w:hAnsi="仿宋_GB2312" w:eastAsia="仿宋_GB2312" w:cs="仿宋_GB2312"/>
          <w:bCs/>
          <w:color w:val="auto"/>
          <w:kern w:val="1"/>
          <w:sz w:val="30"/>
          <w:szCs w:val="30"/>
        </w:rPr>
        <w:t>地点：江苏索普(集团)有限公司</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中心；</w:t>
      </w:r>
    </w:p>
    <w:p w14:paraId="79DAEAB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（七）</w:t>
      </w:r>
      <w:r>
        <w:rPr>
          <w:rFonts w:hint="eastAsia" w:ascii="仿宋_GB2312" w:hAnsi="仿宋_GB2312" w:eastAsia="仿宋_GB2312" w:cs="仿宋_GB2312"/>
          <w:bCs/>
          <w:color w:val="auto"/>
          <w:kern w:val="1"/>
          <w:sz w:val="30"/>
          <w:szCs w:val="30"/>
          <w:lang w:val="en-US" w:eastAsia="zh-CN"/>
        </w:rPr>
        <w:t>评审结果</w:t>
      </w:r>
      <w:r>
        <w:rPr>
          <w:rFonts w:hint="eastAsia" w:ascii="仿宋_GB2312" w:hAnsi="仿宋_GB2312" w:eastAsia="仿宋_GB2312" w:cs="仿宋_GB2312"/>
          <w:bCs/>
          <w:color w:val="auto"/>
          <w:kern w:val="1"/>
          <w:sz w:val="30"/>
          <w:szCs w:val="30"/>
        </w:rPr>
        <w:t>公示：</w:t>
      </w:r>
      <w:r>
        <w:rPr>
          <w:rFonts w:hint="eastAsia" w:ascii="仿宋_GB2312" w:hAnsi="仿宋_GB2312" w:eastAsia="仿宋_GB2312" w:cs="仿宋_GB2312"/>
          <w:bCs/>
          <w:color w:val="auto"/>
          <w:kern w:val="1"/>
          <w:sz w:val="30"/>
          <w:szCs w:val="30"/>
          <w:lang w:val="en-US" w:eastAsia="zh-CN"/>
        </w:rPr>
        <w:t>评审结果</w:t>
      </w:r>
      <w:r>
        <w:rPr>
          <w:rFonts w:hint="eastAsia" w:ascii="仿宋_GB2312" w:hAnsi="仿宋_GB2312" w:eastAsia="仿宋_GB2312" w:cs="仿宋_GB2312"/>
          <w:bCs/>
          <w:color w:val="auto"/>
          <w:kern w:val="1"/>
          <w:sz w:val="30"/>
          <w:szCs w:val="30"/>
        </w:rPr>
        <w:t>将于</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后在索普集团官网公示，请各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登录http://www.sopo.com.cn查询。</w:t>
      </w:r>
    </w:p>
    <w:p w14:paraId="60BB8D4F">
      <w:pPr>
        <w:adjustRightInd w:val="0"/>
        <w:snapToGrid w:val="0"/>
        <w:spacing w:line="600" w:lineRule="exact"/>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 xml:space="preserve">    二、采购项目内容：</w:t>
      </w:r>
    </w:p>
    <w:p w14:paraId="052261E8">
      <w:pPr>
        <w:adjustRightInd w:val="0"/>
        <w:snapToGrid w:val="0"/>
        <w:spacing w:line="600" w:lineRule="exact"/>
        <w:ind w:firstLine="6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（一）</w:t>
      </w:r>
      <w:r>
        <w:rPr>
          <w:rFonts w:hint="eastAsia" w:ascii="仿宋_GB2312" w:hAnsi="仿宋_GB2312" w:eastAsia="仿宋_GB2312" w:cs="仿宋_GB2312"/>
          <w:bCs/>
          <w:color w:val="auto"/>
          <w:kern w:val="1"/>
          <w:sz w:val="30"/>
          <w:szCs w:val="30"/>
          <w:lang w:val="en-US" w:eastAsia="zh-CN"/>
        </w:rPr>
        <w:t>采购项目</w:t>
      </w:r>
      <w:r>
        <w:rPr>
          <w:rFonts w:hint="eastAsia" w:ascii="仿宋_GB2312" w:hAnsi="仿宋_GB2312" w:eastAsia="仿宋_GB2312" w:cs="仿宋_GB2312"/>
          <w:bCs/>
          <w:color w:val="auto"/>
          <w:kern w:val="1"/>
          <w:sz w:val="30"/>
          <w:szCs w:val="30"/>
        </w:rPr>
        <w:t xml:space="preserve">内容    </w:t>
      </w:r>
    </w:p>
    <w:p w14:paraId="3C8606EB">
      <w:pPr>
        <w:tabs>
          <w:tab w:val="left" w:pos="1719"/>
        </w:tabs>
        <w:adjustRightInd w:val="0"/>
        <w:snapToGrid w:val="0"/>
        <w:spacing w:line="600" w:lineRule="exact"/>
        <w:ind w:firstLine="600" w:firstLineChars="200"/>
        <w:rPr>
          <w:rFonts w:hint="default" w:ascii="仿宋_GB2312" w:hAnsi="仿宋_GB2312" w:eastAsia="仿宋_GB2312" w:cs="仿宋_GB2312"/>
          <w:bCs/>
          <w:color w:val="auto"/>
          <w:sz w:val="30"/>
          <w:szCs w:val="30"/>
          <w:u w:val="none"/>
          <w:lang w:val="en-US" w:eastAsia="zh-CN"/>
        </w:rPr>
      </w:pPr>
      <w:r>
        <w:rPr>
          <w:rFonts w:hint="eastAsia" w:ascii="仿宋_GB2312" w:hAnsi="仿宋_GB2312" w:eastAsia="仿宋_GB2312" w:cs="仿宋_GB2312"/>
          <w:bCs/>
          <w:color w:val="auto"/>
          <w:sz w:val="30"/>
          <w:szCs w:val="30"/>
          <w:lang w:val="en-US" w:eastAsia="zh-CN"/>
        </w:rPr>
        <w:t>1.</w:t>
      </w:r>
      <w:r>
        <w:rPr>
          <w:rFonts w:hint="default" w:ascii="仿宋_GB2312" w:hAnsi="仿宋_GB2312" w:eastAsia="仿宋_GB2312" w:cs="仿宋_GB2312"/>
          <w:bCs/>
          <w:color w:val="auto"/>
          <w:sz w:val="30"/>
          <w:szCs w:val="30"/>
          <w:lang w:val="en-US" w:eastAsia="zh-CN"/>
        </w:rPr>
        <w:t>通过招标选定贯标咨询</w:t>
      </w:r>
      <w:r>
        <w:rPr>
          <w:rFonts w:hint="eastAsia" w:ascii="仿宋_GB2312" w:hAnsi="仿宋_GB2312" w:eastAsia="仿宋_GB2312" w:cs="仿宋_GB2312"/>
          <w:bCs/>
          <w:color w:val="auto"/>
          <w:sz w:val="30"/>
          <w:szCs w:val="30"/>
          <w:lang w:val="en-US" w:eastAsia="zh-CN"/>
        </w:rPr>
        <w:t>公司</w:t>
      </w:r>
      <w:r>
        <w:rPr>
          <w:rFonts w:hint="default" w:ascii="仿宋_GB2312" w:hAnsi="仿宋_GB2312" w:eastAsia="仿宋_GB2312" w:cs="仿宋_GB2312"/>
          <w:bCs/>
          <w:color w:val="auto"/>
          <w:sz w:val="30"/>
          <w:szCs w:val="30"/>
          <w:lang w:val="en-US" w:eastAsia="zh-CN"/>
        </w:rPr>
        <w:t>，</w:t>
      </w:r>
      <w:r>
        <w:rPr>
          <w:rFonts w:hint="eastAsia" w:ascii="仿宋_GB2312" w:hAnsi="仿宋_GB2312" w:eastAsia="仿宋_GB2312" w:cs="仿宋_GB2312"/>
          <w:bCs/>
          <w:color w:val="auto"/>
          <w:sz w:val="30"/>
          <w:szCs w:val="30"/>
          <w:u w:val="none"/>
          <w:lang w:val="en-US" w:eastAsia="zh-CN"/>
        </w:rPr>
        <w:t>在2025年3月9日我公司AA级两化融合体系证书到期前，辅导江苏索普通过最新的AA级两化融合管理体系评定并获得证书</w:t>
      </w:r>
      <w:r>
        <w:rPr>
          <w:rFonts w:hint="eastAsia" w:ascii="仿宋_GB2312" w:hAnsi="仿宋_GB2312" w:eastAsia="仿宋_GB2312" w:cs="仿宋_GB2312"/>
          <w:bCs/>
          <w:color w:val="auto"/>
          <w:sz w:val="30"/>
          <w:szCs w:val="30"/>
          <w:u w:val="none"/>
          <w:lang w:eastAsia="zh-CN"/>
        </w:rPr>
        <w:t>，</w:t>
      </w:r>
      <w:r>
        <w:rPr>
          <w:rFonts w:hint="eastAsia" w:ascii="仿宋_GB2312" w:hAnsi="仿宋_GB2312" w:eastAsia="仿宋_GB2312" w:cs="仿宋_GB2312"/>
          <w:bCs/>
          <w:color w:val="auto"/>
          <w:sz w:val="30"/>
          <w:szCs w:val="30"/>
          <w:u w:val="none"/>
          <w:lang w:val="en-US" w:eastAsia="zh-CN"/>
        </w:rPr>
        <w:t>在证书的三年有效期内通过两次监督审核。</w:t>
      </w:r>
    </w:p>
    <w:p w14:paraId="7CE345B2">
      <w:pPr>
        <w:tabs>
          <w:tab w:val="left" w:pos="1719"/>
        </w:tabs>
        <w:adjustRightInd w:val="0"/>
        <w:snapToGrid w:val="0"/>
        <w:spacing w:line="600" w:lineRule="exact"/>
        <w:ind w:firstLine="600" w:firstLineChars="200"/>
        <w:rPr>
          <w:rFonts w:hint="default"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2.投标人（咨询公司）负责联系</w:t>
      </w:r>
      <w:r>
        <w:rPr>
          <w:rFonts w:hint="default" w:ascii="仿宋_GB2312" w:hAnsi="仿宋_GB2312" w:eastAsia="仿宋_GB2312" w:cs="仿宋_GB2312"/>
          <w:bCs/>
          <w:color w:val="auto"/>
          <w:sz w:val="30"/>
          <w:szCs w:val="30"/>
          <w:lang w:val="en-US" w:eastAsia="zh-CN"/>
        </w:rPr>
        <w:t>工信部指定的评定机构</w:t>
      </w:r>
      <w:r>
        <w:rPr>
          <w:rFonts w:hint="eastAsia" w:ascii="仿宋_GB2312" w:hAnsi="仿宋_GB2312" w:eastAsia="仿宋_GB2312" w:cs="仿宋_GB2312"/>
          <w:bCs/>
          <w:color w:val="auto"/>
          <w:sz w:val="30"/>
          <w:szCs w:val="30"/>
          <w:lang w:val="en-US" w:eastAsia="zh-CN"/>
        </w:rPr>
        <w:t>。</w:t>
      </w:r>
    </w:p>
    <w:p w14:paraId="7D2FBED2">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（二）技术要求</w:t>
      </w:r>
    </w:p>
    <w:p w14:paraId="706A9840">
      <w:pPr>
        <w:tabs>
          <w:tab w:val="left" w:pos="1719"/>
        </w:tabs>
        <w:adjustRightInd w:val="0"/>
        <w:snapToGrid w:val="0"/>
        <w:spacing w:line="600" w:lineRule="exact"/>
        <w:ind w:firstLine="600" w:firstLineChars="200"/>
        <w:rPr>
          <w:rFonts w:hint="default"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按最新AA级两化融合管理体系的贯标标准要求。</w:t>
      </w:r>
    </w:p>
    <w:p w14:paraId="01669649">
      <w:pPr>
        <w:adjustRightInd w:val="0"/>
        <w:snapToGrid w:val="0"/>
        <w:spacing w:line="600" w:lineRule="exact"/>
        <w:ind w:firstLine="602" w:firstLineChars="200"/>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三、</w:t>
      </w:r>
      <w:r>
        <w:rPr>
          <w:rFonts w:hint="eastAsia" w:ascii="仿宋_GB2312" w:hAnsi="仿宋_GB2312" w:eastAsia="仿宋_GB2312" w:cs="仿宋_GB2312"/>
          <w:b/>
          <w:color w:val="auto"/>
          <w:sz w:val="30"/>
          <w:szCs w:val="30"/>
          <w:lang w:val="en-US" w:eastAsia="zh-CN"/>
        </w:rPr>
        <w:t>供应商</w:t>
      </w:r>
      <w:r>
        <w:rPr>
          <w:rFonts w:hint="eastAsia" w:ascii="仿宋_GB2312" w:hAnsi="仿宋_GB2312" w:eastAsia="仿宋_GB2312" w:cs="仿宋_GB2312"/>
          <w:b/>
          <w:color w:val="auto"/>
          <w:sz w:val="30"/>
          <w:szCs w:val="30"/>
        </w:rPr>
        <w:t>资质与要求：</w:t>
      </w:r>
    </w:p>
    <w:p w14:paraId="0DF801DA">
      <w:pPr>
        <w:adjustRightInd w:val="0"/>
        <w:snapToGrid w:val="0"/>
        <w:spacing w:line="600" w:lineRule="exact"/>
        <w:ind w:firstLine="600" w:firstLineChars="200"/>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（一）</w:t>
      </w:r>
      <w:r>
        <w:rPr>
          <w:rFonts w:hint="eastAsia" w:ascii="仿宋_GB2312" w:hAnsi="仿宋_GB2312" w:eastAsia="仿宋_GB2312" w:cs="仿宋_GB2312"/>
          <w:b w:val="0"/>
          <w:bCs/>
          <w:color w:val="auto"/>
          <w:sz w:val="30"/>
          <w:szCs w:val="30"/>
          <w:lang w:val="en-US" w:eastAsia="zh-CN"/>
        </w:rPr>
        <w:t>供应商</w:t>
      </w:r>
      <w:r>
        <w:rPr>
          <w:rFonts w:hint="eastAsia" w:ascii="仿宋_GB2312" w:hAnsi="仿宋_GB2312" w:eastAsia="仿宋_GB2312" w:cs="仿宋_GB2312"/>
          <w:b w:val="0"/>
          <w:bCs/>
          <w:color w:val="auto"/>
          <w:sz w:val="30"/>
          <w:szCs w:val="30"/>
        </w:rPr>
        <w:t>资质要求</w:t>
      </w:r>
      <w:r>
        <w:rPr>
          <w:rFonts w:hint="eastAsia" w:ascii="仿宋_GB2312" w:hAnsi="仿宋_GB2312" w:eastAsia="仿宋_GB2312" w:cs="仿宋_GB2312"/>
          <w:b w:val="0"/>
          <w:bCs/>
          <w:color w:val="auto"/>
          <w:sz w:val="30"/>
          <w:szCs w:val="30"/>
          <w:lang w:val="en-US" w:eastAsia="zh-CN"/>
        </w:rPr>
        <w:t>及需要</w:t>
      </w:r>
      <w:r>
        <w:rPr>
          <w:rFonts w:hint="eastAsia" w:ascii="仿宋_GB2312" w:hAnsi="仿宋_GB2312" w:eastAsia="仿宋_GB2312" w:cs="仿宋_GB2312"/>
          <w:bCs/>
          <w:color w:val="auto"/>
          <w:kern w:val="1"/>
          <w:sz w:val="30"/>
          <w:szCs w:val="30"/>
          <w:lang w:val="en-US" w:eastAsia="zh-CN"/>
        </w:rPr>
        <w:t>提供以下材料</w:t>
      </w:r>
      <w:r>
        <w:rPr>
          <w:rFonts w:hint="eastAsia" w:ascii="仿宋_GB2312" w:hAnsi="仿宋_GB2312" w:eastAsia="仿宋_GB2312" w:cs="仿宋_GB2312"/>
          <w:b w:val="0"/>
          <w:bCs/>
          <w:color w:val="auto"/>
          <w:sz w:val="30"/>
          <w:szCs w:val="30"/>
        </w:rPr>
        <w:t>：</w:t>
      </w:r>
    </w:p>
    <w:p w14:paraId="2C015E33">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1.咨询服务机构</w:t>
      </w:r>
      <w:r>
        <w:rPr>
          <w:rFonts w:hint="default" w:ascii="仿宋_GB2312" w:hAnsi="仿宋_GB2312" w:eastAsia="仿宋_GB2312" w:cs="仿宋_GB2312"/>
          <w:bCs/>
          <w:color w:val="auto"/>
          <w:sz w:val="30"/>
          <w:szCs w:val="30"/>
          <w:lang w:val="en-US" w:eastAsia="zh-CN"/>
        </w:rPr>
        <w:t>必须是</w:t>
      </w:r>
      <w:r>
        <w:rPr>
          <w:rFonts w:hint="eastAsia" w:ascii="仿宋_GB2312" w:hAnsi="仿宋_GB2312" w:eastAsia="仿宋_GB2312" w:cs="仿宋_GB2312"/>
          <w:bCs/>
          <w:color w:val="auto"/>
          <w:sz w:val="30"/>
          <w:szCs w:val="30"/>
          <w:lang w:val="en-US" w:eastAsia="zh-CN"/>
        </w:rPr>
        <w:t>在</w:t>
      </w:r>
      <w:r>
        <w:rPr>
          <w:rFonts w:hint="default" w:ascii="仿宋_GB2312" w:hAnsi="仿宋_GB2312" w:eastAsia="仿宋_GB2312" w:cs="仿宋_GB2312"/>
          <w:bCs/>
          <w:color w:val="auto"/>
          <w:sz w:val="30"/>
          <w:szCs w:val="30"/>
          <w:lang w:val="en-US" w:eastAsia="zh-CN"/>
        </w:rPr>
        <w:t>中华人民共和国境内注册并取得营业执照的法人单位</w:t>
      </w:r>
      <w:r>
        <w:rPr>
          <w:rFonts w:hint="eastAsia" w:ascii="仿宋_GB2312" w:hAnsi="仿宋_GB2312" w:eastAsia="仿宋_GB2312" w:cs="仿宋_GB2312"/>
          <w:bCs/>
          <w:color w:val="auto"/>
          <w:sz w:val="30"/>
          <w:szCs w:val="30"/>
          <w:lang w:val="en-US" w:eastAsia="zh-CN"/>
        </w:rPr>
        <w:t>；（提供营业执照复印件加盖投标方公章）</w:t>
      </w:r>
    </w:p>
    <w:p w14:paraId="14A28EE1">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2.咨询服务机构须通过两化融合管理体系评定管理平台认证，且三年内服务的AA级企业贯标通过总数量不低于十家，AA级贯标通过率不低于90%；（提供证明材料并盖公章）</w:t>
      </w:r>
    </w:p>
    <w:p w14:paraId="4116F74D">
      <w:pPr>
        <w:tabs>
          <w:tab w:val="left" w:pos="1719"/>
        </w:tabs>
        <w:adjustRightInd w:val="0"/>
        <w:snapToGrid w:val="0"/>
        <w:spacing w:line="600" w:lineRule="exact"/>
        <w:ind w:firstLine="600" w:firstLineChars="200"/>
        <w:rPr>
          <w:rFonts w:hint="default"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3.认证单位须为中信联认可的机构；</w:t>
      </w:r>
    </w:p>
    <w:p w14:paraId="2E60E635">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4.负责我公司贯标的主要咨询服务人员须具备</w:t>
      </w:r>
      <w:r>
        <w:rPr>
          <w:rFonts w:hint="default" w:ascii="仿宋_GB2312" w:hAnsi="仿宋_GB2312" w:eastAsia="仿宋_GB2312" w:cs="仿宋_GB2312"/>
          <w:bCs/>
          <w:color w:val="auto"/>
          <w:sz w:val="30"/>
          <w:szCs w:val="30"/>
          <w:lang w:val="en-US" w:eastAsia="zh-CN"/>
        </w:rPr>
        <w:t>AA</w:t>
      </w:r>
      <w:r>
        <w:rPr>
          <w:rFonts w:hint="eastAsia" w:ascii="仿宋_GB2312" w:hAnsi="仿宋_GB2312" w:eastAsia="仿宋_GB2312" w:cs="仿宋_GB2312"/>
          <w:bCs/>
          <w:color w:val="auto"/>
          <w:sz w:val="30"/>
          <w:szCs w:val="30"/>
          <w:lang w:val="en-US" w:eastAsia="zh-CN"/>
        </w:rPr>
        <w:t>级以上（含</w:t>
      </w:r>
      <w:r>
        <w:rPr>
          <w:rFonts w:hint="default" w:ascii="仿宋_GB2312" w:hAnsi="仿宋_GB2312" w:eastAsia="仿宋_GB2312" w:cs="仿宋_GB2312"/>
          <w:bCs/>
          <w:color w:val="auto"/>
          <w:sz w:val="30"/>
          <w:szCs w:val="30"/>
          <w:lang w:val="en-US" w:eastAsia="zh-CN"/>
        </w:rPr>
        <w:t>AA</w:t>
      </w:r>
      <w:r>
        <w:rPr>
          <w:rFonts w:hint="eastAsia" w:ascii="仿宋_GB2312" w:hAnsi="仿宋_GB2312" w:eastAsia="仿宋_GB2312" w:cs="仿宋_GB2312"/>
          <w:bCs/>
          <w:color w:val="auto"/>
          <w:sz w:val="30"/>
          <w:szCs w:val="30"/>
          <w:lang w:val="en-US" w:eastAsia="zh-CN"/>
        </w:rPr>
        <w:t>级）两化融合管理体系技能测试合格证书，且主导不低于五家企业的两化融合管理体系</w:t>
      </w:r>
      <w:r>
        <w:rPr>
          <w:rFonts w:hint="default" w:ascii="仿宋_GB2312" w:hAnsi="仿宋_GB2312" w:eastAsia="仿宋_GB2312" w:cs="仿宋_GB2312"/>
          <w:bCs/>
          <w:color w:val="auto"/>
          <w:sz w:val="30"/>
          <w:szCs w:val="30"/>
          <w:lang w:val="en-US" w:eastAsia="zh-CN"/>
        </w:rPr>
        <w:t>AA</w:t>
      </w:r>
      <w:r>
        <w:rPr>
          <w:rFonts w:hint="eastAsia" w:ascii="仿宋_GB2312" w:hAnsi="仿宋_GB2312" w:eastAsia="仿宋_GB2312" w:cs="仿宋_GB2312"/>
          <w:bCs/>
          <w:color w:val="auto"/>
          <w:sz w:val="30"/>
          <w:szCs w:val="30"/>
          <w:lang w:val="en-US" w:eastAsia="zh-CN"/>
        </w:rPr>
        <w:t>级贯标咨询服务；（提供证明材料并盖公章）</w:t>
      </w:r>
    </w:p>
    <w:p w14:paraId="6FC27691">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5.本次江苏索普两化融合管理体系AA级贯标为实质贯标，咨询服务方须提供实质贯标相应的咨询服务；</w:t>
      </w:r>
    </w:p>
    <w:p w14:paraId="2D4E4B6A">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sz w:val="30"/>
          <w:szCs w:val="30"/>
          <w:lang w:val="en-US" w:eastAsia="zh-CN"/>
        </w:rPr>
        <w:t>6.投标人信用证明：提供</w:t>
      </w:r>
      <w:r>
        <w:rPr>
          <w:rFonts w:hint="default" w:ascii="仿宋_GB2312" w:hAnsi="仿宋_GB2312" w:eastAsia="仿宋_GB2312" w:cs="仿宋_GB2312"/>
          <w:bCs/>
          <w:color w:val="auto"/>
          <w:sz w:val="30"/>
          <w:szCs w:val="30"/>
          <w:lang w:val="en-US" w:eastAsia="zh-CN"/>
        </w:rPr>
        <w:t>近三年</w:t>
      </w:r>
      <w:r>
        <w:rPr>
          <w:rFonts w:hint="eastAsia" w:ascii="仿宋_GB2312" w:hAnsi="仿宋_GB2312" w:eastAsia="仿宋_GB2312" w:cs="仿宋_GB2312"/>
          <w:bCs/>
          <w:color w:val="auto"/>
          <w:sz w:val="30"/>
          <w:szCs w:val="30"/>
          <w:lang w:val="en-US" w:eastAsia="zh-CN"/>
        </w:rPr>
        <w:t>未被“信用中国”列入失信被执行人、重大税收违法案件当事人名单、政府采购严重失信行为记录名单的查询记录页面截图并加盖投标方公章；</w:t>
      </w:r>
    </w:p>
    <w:p w14:paraId="25C60FDB">
      <w:pPr>
        <w:keepNext w:val="0"/>
        <w:keepLines w:val="0"/>
        <w:widowControl/>
        <w:suppressLineNumbers w:val="0"/>
        <w:shd w:val="clear" w:fill="FFFFFF"/>
        <w:spacing w:before="0" w:beforeAutospacing="0" w:after="0" w:afterAutospacing="0"/>
        <w:ind w:right="0" w:firstLine="600" w:firstLineChars="200"/>
        <w:jc w:val="left"/>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7</w:t>
      </w:r>
      <w:r>
        <w:rPr>
          <w:rFonts w:hint="default" w:ascii="仿宋_GB2312" w:hAnsi="仿宋_GB2312" w:eastAsia="仿宋_GB2312" w:cs="仿宋_GB2312"/>
          <w:bCs/>
          <w:color w:val="auto"/>
          <w:kern w:val="1"/>
          <w:sz w:val="30"/>
          <w:szCs w:val="30"/>
          <w:lang w:val="en-US" w:eastAsia="zh-CN"/>
        </w:rPr>
        <w:t>.投标企业的初拟实施方案计划</w:t>
      </w:r>
      <w:r>
        <w:rPr>
          <w:rFonts w:hint="eastAsia" w:ascii="仿宋_GB2312" w:hAnsi="仿宋_GB2312" w:eastAsia="仿宋_GB2312" w:cs="仿宋_GB2312"/>
          <w:bCs/>
          <w:color w:val="auto"/>
          <w:kern w:val="1"/>
          <w:sz w:val="30"/>
          <w:szCs w:val="30"/>
          <w:lang w:val="en-US" w:eastAsia="zh-CN"/>
        </w:rPr>
        <w:t>；</w:t>
      </w:r>
    </w:p>
    <w:p w14:paraId="44BC1DCA">
      <w:pPr>
        <w:adjustRightInd w:val="0"/>
        <w:snapToGrid w:val="0"/>
        <w:spacing w:line="600" w:lineRule="exact"/>
        <w:ind w:firstLine="602" w:firstLineChars="200"/>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四、</w:t>
      </w:r>
      <w:r>
        <w:rPr>
          <w:rFonts w:hint="eastAsia" w:ascii="仿宋_GB2312" w:hAnsi="仿宋_GB2312" w:eastAsia="仿宋_GB2312" w:cs="仿宋_GB2312"/>
          <w:b/>
          <w:color w:val="auto"/>
          <w:kern w:val="2"/>
          <w:sz w:val="30"/>
          <w:szCs w:val="30"/>
          <w:lang w:val="en-US" w:eastAsia="zh-CN"/>
        </w:rPr>
        <w:t>报价</w:t>
      </w:r>
      <w:r>
        <w:rPr>
          <w:rFonts w:hint="eastAsia" w:ascii="仿宋_GB2312" w:hAnsi="仿宋_GB2312" w:eastAsia="仿宋_GB2312" w:cs="仿宋_GB2312"/>
          <w:b/>
          <w:color w:val="auto"/>
          <w:kern w:val="2"/>
          <w:sz w:val="30"/>
          <w:szCs w:val="30"/>
        </w:rPr>
        <w:t>：</w:t>
      </w:r>
    </w:p>
    <w:p w14:paraId="3A887857">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（一）报价表里是AA级两化融合体系咨询和认证服务的总打包价(</w:t>
      </w:r>
      <w:r>
        <w:rPr>
          <w:rFonts w:hint="eastAsia" w:ascii="仿宋_GB2312" w:hAnsi="仿宋_GB2312" w:eastAsia="仿宋_GB2312" w:cs="仿宋_GB2312"/>
          <w:bCs/>
          <w:color w:val="auto"/>
          <w:kern w:val="1"/>
          <w:sz w:val="30"/>
          <w:szCs w:val="30"/>
          <w:u w:val="single"/>
          <w:lang w:val="en-US" w:eastAsia="zh-CN"/>
        </w:rPr>
        <w:t>包含首次和后续两次</w:t>
      </w:r>
      <w:r>
        <w:rPr>
          <w:rFonts w:hint="eastAsia" w:ascii="仿宋_GB2312" w:hAnsi="仿宋_GB2312" w:eastAsia="仿宋_GB2312" w:cs="仿宋_GB2312"/>
          <w:bCs/>
          <w:color w:val="auto"/>
          <w:sz w:val="30"/>
          <w:szCs w:val="30"/>
          <w:u w:val="single"/>
          <w:lang w:val="en-US" w:eastAsia="zh-CN"/>
        </w:rPr>
        <w:t>监督审核的</w:t>
      </w:r>
      <w:r>
        <w:rPr>
          <w:rFonts w:hint="eastAsia" w:ascii="仿宋_GB2312" w:hAnsi="仿宋_GB2312" w:eastAsia="仿宋_GB2312" w:cs="仿宋_GB2312"/>
          <w:bCs/>
          <w:color w:val="auto"/>
          <w:kern w:val="1"/>
          <w:sz w:val="30"/>
          <w:szCs w:val="30"/>
          <w:u w:val="single"/>
          <w:lang w:val="en-US" w:eastAsia="zh-CN"/>
        </w:rPr>
        <w:t>咨询服务费、</w:t>
      </w:r>
      <w:r>
        <w:rPr>
          <w:rFonts w:hint="eastAsia" w:ascii="仿宋_GB2312" w:hAnsi="仿宋_GB2312" w:eastAsia="仿宋_GB2312" w:cs="仿宋_GB2312"/>
          <w:bCs/>
          <w:color w:val="auto"/>
          <w:sz w:val="30"/>
          <w:szCs w:val="30"/>
          <w:u w:val="single"/>
          <w:lang w:val="en-US" w:eastAsia="zh-CN"/>
        </w:rPr>
        <w:t>认定机构的</w:t>
      </w:r>
      <w:r>
        <w:rPr>
          <w:rFonts w:hint="eastAsia" w:ascii="仿宋_GB2312" w:hAnsi="仿宋_GB2312" w:eastAsia="仿宋_GB2312" w:cs="仿宋_GB2312"/>
          <w:bCs/>
          <w:color w:val="auto"/>
          <w:kern w:val="1"/>
          <w:sz w:val="30"/>
          <w:szCs w:val="30"/>
          <w:u w:val="single"/>
          <w:lang w:val="en-US" w:eastAsia="zh-CN"/>
        </w:rPr>
        <w:t>认证费</w:t>
      </w:r>
      <w:r>
        <w:rPr>
          <w:rFonts w:hint="eastAsia" w:ascii="仿宋_GB2312" w:hAnsi="仿宋_GB2312" w:eastAsia="仿宋_GB2312" w:cs="仿宋_GB2312"/>
          <w:bCs/>
          <w:color w:val="auto"/>
          <w:kern w:val="1"/>
          <w:sz w:val="30"/>
          <w:szCs w:val="30"/>
          <w:lang w:val="en-US" w:eastAsia="zh-CN"/>
        </w:rPr>
        <w:t>)，我公司不再另外支付差旅费。</w:t>
      </w:r>
    </w:p>
    <w:p w14:paraId="58C01250">
      <w:pPr>
        <w:adjustRightInd w:val="0"/>
        <w:snapToGrid w:val="0"/>
        <w:spacing w:line="600" w:lineRule="exact"/>
        <w:ind w:firstLine="600" w:firstLineChars="200"/>
        <w:jc w:val="left"/>
        <w:rPr>
          <w:rFonts w:hint="eastAsia" w:ascii="仿宋_GB2312" w:hAnsi="仿宋_GB2312" w:eastAsia="仿宋_GB2312" w:cs="仿宋_GB2312"/>
          <w:bCs/>
          <w:color w:val="auto"/>
          <w:sz w:val="30"/>
          <w:szCs w:val="30"/>
        </w:rPr>
      </w:pPr>
      <w:bookmarkStart w:id="0" w:name="_GoBack"/>
      <w:bookmarkEnd w:id="0"/>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二</w:t>
      </w:r>
      <w:r>
        <w:rPr>
          <w:rFonts w:hint="eastAsia" w:ascii="仿宋_GB2312" w:hAnsi="仿宋_GB2312" w:eastAsia="仿宋_GB2312" w:cs="仿宋_GB2312"/>
          <w:bCs/>
          <w:color w:val="auto"/>
          <w:kern w:val="1"/>
          <w:sz w:val="30"/>
          <w:szCs w:val="30"/>
        </w:rPr>
        <w:t>）报价方式：</w:t>
      </w:r>
      <w:r>
        <w:rPr>
          <w:rFonts w:hint="eastAsia" w:ascii="仿宋_GB2312" w:hAnsi="仿宋_GB2312" w:eastAsia="仿宋_GB2312" w:cs="仿宋_GB2312"/>
          <w:bCs/>
          <w:color w:val="auto"/>
          <w:sz w:val="30"/>
          <w:szCs w:val="30"/>
        </w:rPr>
        <w:t>报价为含增值税送到价</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lang w:val="en-US" w:eastAsia="zh-CN"/>
        </w:rPr>
        <w:t>现汇</w:t>
      </w:r>
      <w:r>
        <w:rPr>
          <w:rFonts w:hint="eastAsia" w:ascii="仿宋_GB2312" w:hAnsi="仿宋_GB2312" w:eastAsia="仿宋_GB2312" w:cs="仿宋_GB2312"/>
          <w:bCs/>
          <w:color w:val="auto"/>
          <w:sz w:val="30"/>
          <w:szCs w:val="30"/>
        </w:rPr>
        <w:t>。如国家税率调整，按合同含税价格/（1+合同约定税率）*（1+国家规定的新税率）调整合同价格开具发票；</w:t>
      </w:r>
    </w:p>
    <w:p w14:paraId="50BA47CF">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（三）付款方式：</w:t>
      </w:r>
    </w:p>
    <w:p w14:paraId="221D1DA8">
      <w:pPr>
        <w:adjustRightInd w:val="0"/>
        <w:snapToGrid w:val="0"/>
        <w:spacing w:line="600" w:lineRule="exact"/>
        <w:ind w:firstLine="600" w:firstLineChars="200"/>
        <w:rPr>
          <w:rFonts w:hint="default" w:ascii="仿宋_GB2312" w:hAnsi="仿宋_GB2312" w:eastAsia="仿宋_GB2312" w:cs="仿宋_GB2312"/>
          <w:bCs/>
          <w:color w:val="auto"/>
          <w:kern w:val="1"/>
          <w:sz w:val="30"/>
          <w:szCs w:val="30"/>
          <w:highlight w:val="yellow"/>
          <w:lang w:val="en-US" w:eastAsia="zh-CN"/>
        </w:rPr>
      </w:pPr>
      <w:r>
        <w:rPr>
          <w:rFonts w:hint="eastAsia" w:ascii="仿宋_GB2312" w:hAnsi="仿宋_GB2312" w:eastAsia="仿宋_GB2312" w:cs="仿宋_GB2312"/>
          <w:bCs/>
          <w:color w:val="auto"/>
          <w:kern w:val="1"/>
          <w:sz w:val="30"/>
          <w:szCs w:val="30"/>
          <w:lang w:val="en-US" w:eastAsia="zh-CN"/>
        </w:rPr>
        <w:t>签订贯标合同次月支付合同全款的</w:t>
      </w:r>
      <w:r>
        <w:rPr>
          <w:rFonts w:hint="eastAsia" w:ascii="仿宋_GB2312" w:hAnsi="仿宋_GB2312" w:eastAsia="仿宋_GB2312" w:cs="仿宋_GB2312"/>
          <w:bCs/>
          <w:color w:val="auto"/>
          <w:kern w:val="1"/>
          <w:sz w:val="30"/>
          <w:szCs w:val="30"/>
          <w:u w:val="single"/>
          <w:lang w:val="en-US" w:eastAsia="zh-CN"/>
        </w:rPr>
        <w:t>20%</w:t>
      </w:r>
      <w:r>
        <w:rPr>
          <w:rFonts w:hint="eastAsia" w:ascii="仿宋_GB2312" w:hAnsi="仿宋_GB2312" w:eastAsia="仿宋_GB2312" w:cs="仿宋_GB2312"/>
          <w:bCs/>
          <w:color w:val="auto"/>
          <w:kern w:val="1"/>
          <w:sz w:val="30"/>
          <w:szCs w:val="30"/>
          <w:lang w:val="en-US" w:eastAsia="zh-CN"/>
        </w:rPr>
        <w:t>，国家两化融合联盟公示通过认定后30个工作日内支付合同全款的</w:t>
      </w:r>
      <w:r>
        <w:rPr>
          <w:rFonts w:hint="eastAsia" w:ascii="仿宋_GB2312" w:hAnsi="仿宋_GB2312" w:eastAsia="仿宋_GB2312" w:cs="仿宋_GB2312"/>
          <w:bCs/>
          <w:color w:val="auto"/>
          <w:kern w:val="1"/>
          <w:sz w:val="30"/>
          <w:szCs w:val="30"/>
          <w:u w:val="single"/>
          <w:lang w:val="en-US" w:eastAsia="zh-CN"/>
        </w:rPr>
        <w:t>60%</w:t>
      </w:r>
      <w:r>
        <w:rPr>
          <w:rFonts w:hint="eastAsia" w:ascii="仿宋_GB2312" w:hAnsi="仿宋_GB2312" w:eastAsia="仿宋_GB2312" w:cs="仿宋_GB2312"/>
          <w:bCs/>
          <w:color w:val="auto"/>
          <w:kern w:val="1"/>
          <w:sz w:val="30"/>
          <w:szCs w:val="30"/>
          <w:lang w:val="en-US" w:eastAsia="zh-CN"/>
        </w:rPr>
        <w:t>，体系平稳运行后（通过第一次监督审核工作）30个工作日内支付余下的</w:t>
      </w:r>
      <w:r>
        <w:rPr>
          <w:rFonts w:hint="eastAsia" w:ascii="仿宋_GB2312" w:hAnsi="仿宋_GB2312" w:eastAsia="仿宋_GB2312" w:cs="仿宋_GB2312"/>
          <w:bCs/>
          <w:color w:val="auto"/>
          <w:kern w:val="1"/>
          <w:sz w:val="30"/>
          <w:szCs w:val="30"/>
          <w:u w:val="single"/>
          <w:lang w:val="en-US" w:eastAsia="zh-CN"/>
        </w:rPr>
        <w:t>10%</w:t>
      </w:r>
      <w:r>
        <w:rPr>
          <w:rFonts w:hint="eastAsia" w:ascii="仿宋_GB2312" w:hAnsi="仿宋_GB2312" w:eastAsia="仿宋_GB2312" w:cs="仿宋_GB2312"/>
          <w:bCs/>
          <w:color w:val="auto"/>
          <w:kern w:val="1"/>
          <w:sz w:val="30"/>
          <w:szCs w:val="30"/>
          <w:lang w:val="en-US" w:eastAsia="zh-CN"/>
        </w:rPr>
        <w:t>，（通过第二次监督审核工作）30个工作日内支付余下的</w:t>
      </w:r>
      <w:r>
        <w:rPr>
          <w:rFonts w:hint="eastAsia" w:ascii="仿宋_GB2312" w:hAnsi="仿宋_GB2312" w:eastAsia="仿宋_GB2312" w:cs="仿宋_GB2312"/>
          <w:bCs/>
          <w:color w:val="auto"/>
          <w:kern w:val="1"/>
          <w:sz w:val="30"/>
          <w:szCs w:val="30"/>
          <w:u w:val="single"/>
          <w:lang w:val="en-US" w:eastAsia="zh-CN"/>
        </w:rPr>
        <w:t>10%</w:t>
      </w:r>
      <w:r>
        <w:rPr>
          <w:rFonts w:hint="eastAsia" w:ascii="仿宋_GB2312" w:hAnsi="仿宋_GB2312" w:eastAsia="仿宋_GB2312" w:cs="仿宋_GB2312"/>
          <w:bCs/>
          <w:color w:val="auto"/>
          <w:kern w:val="1"/>
          <w:sz w:val="30"/>
          <w:szCs w:val="30"/>
          <w:lang w:val="en-US" w:eastAsia="zh-CN"/>
        </w:rPr>
        <w:t>；上述费用均需在收到咨询公司开具的增值税专用发票后付款，付款方式为</w:t>
      </w:r>
      <w:r>
        <w:rPr>
          <w:rFonts w:hint="eastAsia" w:ascii="仿宋_GB2312" w:hAnsi="仿宋_GB2312" w:eastAsia="仿宋_GB2312" w:cs="仿宋_GB2312"/>
          <w:bCs/>
          <w:color w:val="auto"/>
          <w:kern w:val="1"/>
          <w:sz w:val="30"/>
          <w:szCs w:val="30"/>
          <w:u w:val="single"/>
          <w:lang w:val="en-US" w:eastAsia="zh-CN"/>
        </w:rPr>
        <w:t>现汇</w:t>
      </w:r>
      <w:r>
        <w:rPr>
          <w:rFonts w:hint="eastAsia" w:ascii="仿宋_GB2312" w:hAnsi="仿宋_GB2312" w:eastAsia="仿宋_GB2312" w:cs="仿宋_GB2312"/>
          <w:bCs/>
          <w:color w:val="auto"/>
          <w:kern w:val="1"/>
          <w:sz w:val="30"/>
          <w:szCs w:val="30"/>
          <w:lang w:val="en-US" w:eastAsia="zh-CN"/>
        </w:rPr>
        <w:t>。</w:t>
      </w:r>
    </w:p>
    <w:p w14:paraId="64B52865">
      <w:pPr>
        <w:adjustRightInd w:val="0"/>
        <w:snapToGrid w:val="0"/>
        <w:spacing w:line="6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如</w:t>
      </w:r>
      <w:r>
        <w:rPr>
          <w:rFonts w:hint="eastAsia" w:ascii="仿宋_GB2312" w:hAnsi="仿宋_GB2312" w:eastAsia="仿宋_GB2312" w:cs="仿宋_GB2312"/>
          <w:bCs/>
          <w:color w:val="auto"/>
          <w:kern w:val="1"/>
          <w:sz w:val="30"/>
          <w:szCs w:val="30"/>
          <w:lang w:val="en-US" w:eastAsia="zh-CN"/>
        </w:rPr>
        <w:t>咨询公司</w:t>
      </w:r>
      <w:r>
        <w:rPr>
          <w:rFonts w:hint="eastAsia" w:ascii="仿宋_GB2312" w:hAnsi="仿宋_GB2312" w:eastAsia="仿宋_GB2312" w:cs="仿宋_GB2312"/>
          <w:bCs/>
          <w:color w:val="auto"/>
          <w:kern w:val="1"/>
          <w:sz w:val="30"/>
          <w:szCs w:val="30"/>
        </w:rPr>
        <w:t>不接受</w:t>
      </w:r>
      <w:r>
        <w:rPr>
          <w:rFonts w:hint="eastAsia" w:ascii="仿宋_GB2312" w:hAnsi="仿宋_GB2312" w:eastAsia="仿宋_GB2312" w:cs="仿宋_GB2312"/>
          <w:bCs/>
          <w:color w:val="auto"/>
          <w:kern w:val="1"/>
          <w:sz w:val="30"/>
          <w:szCs w:val="30"/>
          <w:lang w:val="en-US" w:eastAsia="zh-CN"/>
        </w:rPr>
        <w:t>我公司</w:t>
      </w:r>
      <w:r>
        <w:rPr>
          <w:rFonts w:hint="eastAsia" w:ascii="仿宋_GB2312" w:hAnsi="仿宋_GB2312" w:eastAsia="仿宋_GB2312" w:cs="仿宋_GB2312"/>
          <w:bCs/>
          <w:color w:val="auto"/>
          <w:kern w:val="1"/>
          <w:sz w:val="30"/>
          <w:szCs w:val="30"/>
        </w:rPr>
        <w:t>提出的付款方式，可在线下报价书中明确能够接受的付款方式及付款时间，评标时作为参考。如付款方式涉及到预付款，</w:t>
      </w:r>
      <w:r>
        <w:rPr>
          <w:rFonts w:hint="eastAsia" w:ascii="仿宋_GB2312" w:hAnsi="仿宋_GB2312" w:eastAsia="仿宋_GB2312" w:cs="仿宋_GB2312"/>
          <w:bCs/>
          <w:color w:val="auto"/>
          <w:kern w:val="1"/>
          <w:sz w:val="30"/>
          <w:szCs w:val="30"/>
          <w:lang w:val="en-US" w:eastAsia="zh-CN"/>
        </w:rPr>
        <w:t>咨询公司</w:t>
      </w:r>
      <w:r>
        <w:rPr>
          <w:rFonts w:hint="eastAsia" w:ascii="仿宋_GB2312" w:hAnsi="仿宋_GB2312" w:eastAsia="仿宋_GB2312" w:cs="仿宋_GB2312"/>
          <w:bCs/>
          <w:color w:val="auto"/>
          <w:kern w:val="1"/>
          <w:sz w:val="30"/>
          <w:szCs w:val="30"/>
        </w:rPr>
        <w:t>必须在</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文件中提供</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前3个月内中国人民银行征信中心出具的企业信用报告并加盖企业公章。</w:t>
      </w:r>
    </w:p>
    <w:p w14:paraId="4571C95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四</w:t>
      </w:r>
      <w:r>
        <w:rPr>
          <w:rFonts w:hint="eastAsia" w:ascii="仿宋_GB2312" w:hAnsi="仿宋_GB2312" w:eastAsia="仿宋_GB2312" w:cs="仿宋_GB2312"/>
          <w:bCs/>
          <w:color w:val="auto"/>
          <w:kern w:val="1"/>
          <w:sz w:val="30"/>
          <w:szCs w:val="30"/>
        </w:rPr>
        <w:t>）本项目</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通过线下方式进行：</w:t>
      </w:r>
    </w:p>
    <w:p w14:paraId="16F2CA23">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采用线下</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应将报价书及相关资料以</w:t>
      </w:r>
      <w:r>
        <w:rPr>
          <w:rFonts w:hint="eastAsia" w:ascii="仿宋_GB2312" w:hAnsi="仿宋_GB2312" w:eastAsia="仿宋_GB2312" w:cs="仿宋_GB2312"/>
          <w:bCs/>
          <w:color w:val="auto"/>
          <w:kern w:val="1"/>
          <w:sz w:val="30"/>
          <w:szCs w:val="30"/>
          <w:lang w:val="en-US" w:eastAsia="zh-CN"/>
        </w:rPr>
        <w:t>密封</w:t>
      </w:r>
      <w:r>
        <w:rPr>
          <w:rFonts w:hint="eastAsia" w:ascii="仿宋_GB2312" w:hAnsi="仿宋_GB2312" w:eastAsia="仿宋_GB2312" w:cs="仿宋_GB2312"/>
          <w:bCs/>
          <w:color w:val="auto"/>
          <w:kern w:val="1"/>
          <w:sz w:val="30"/>
          <w:szCs w:val="30"/>
        </w:rPr>
        <w:t>袋形式送达，</w:t>
      </w:r>
      <w:r>
        <w:rPr>
          <w:rFonts w:hint="eastAsia" w:ascii="仿宋_GB2312" w:hAnsi="仿宋_GB2312" w:eastAsia="仿宋_GB2312" w:cs="仿宋_GB2312"/>
          <w:bCs/>
          <w:color w:val="auto"/>
          <w:kern w:val="1"/>
          <w:sz w:val="30"/>
          <w:szCs w:val="30"/>
          <w:lang w:val="en-US" w:eastAsia="zh-CN"/>
        </w:rPr>
        <w:t>密封</w:t>
      </w:r>
      <w:r>
        <w:rPr>
          <w:rFonts w:hint="eastAsia" w:ascii="仿宋_GB2312" w:hAnsi="仿宋_GB2312" w:eastAsia="仿宋_GB2312" w:cs="仿宋_GB2312"/>
          <w:bCs/>
          <w:color w:val="auto"/>
          <w:kern w:val="1"/>
          <w:sz w:val="30"/>
          <w:szCs w:val="30"/>
        </w:rPr>
        <w:t>袋外包装必须用“封条”密封，封条“格式自定”，另需加盖公章、法人章，填写密封日期；在</w:t>
      </w:r>
      <w:r>
        <w:rPr>
          <w:rFonts w:hint="eastAsia" w:ascii="仿宋_GB2312" w:hAnsi="仿宋_GB2312" w:eastAsia="仿宋_GB2312" w:cs="仿宋_GB2312"/>
          <w:bCs/>
          <w:color w:val="auto"/>
          <w:kern w:val="1"/>
          <w:sz w:val="30"/>
          <w:szCs w:val="30"/>
          <w:lang w:val="en-US" w:eastAsia="zh-CN"/>
        </w:rPr>
        <w:t>密封</w:t>
      </w:r>
      <w:r>
        <w:rPr>
          <w:rFonts w:hint="eastAsia" w:ascii="仿宋_GB2312" w:hAnsi="仿宋_GB2312" w:eastAsia="仿宋_GB2312" w:cs="仿宋_GB2312"/>
          <w:bCs/>
          <w:color w:val="auto"/>
          <w:kern w:val="1"/>
          <w:sz w:val="30"/>
          <w:szCs w:val="30"/>
        </w:rPr>
        <w:t>袋封面上需注明“</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项目名称，</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名称、地址、联系人、联系电话”等，如快递邮件破损或封面无</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注释被误拆，我方概不负责；且必须在</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截止日之前送达，逾期将作为</w:t>
      </w:r>
      <w:r>
        <w:rPr>
          <w:rFonts w:hint="eastAsia" w:ascii="仿宋_GB2312" w:hAnsi="仿宋_GB2312" w:eastAsia="仿宋_GB2312" w:cs="仿宋_GB2312"/>
          <w:bCs/>
          <w:color w:val="auto"/>
          <w:kern w:val="1"/>
          <w:sz w:val="30"/>
          <w:szCs w:val="30"/>
          <w:lang w:val="en-US" w:eastAsia="zh-CN"/>
        </w:rPr>
        <w:t>无效报价</w:t>
      </w:r>
      <w:r>
        <w:rPr>
          <w:rFonts w:hint="eastAsia" w:ascii="仿宋_GB2312" w:hAnsi="仿宋_GB2312" w:eastAsia="仿宋_GB2312" w:cs="仿宋_GB2312"/>
          <w:bCs/>
          <w:color w:val="auto"/>
          <w:kern w:val="1"/>
          <w:sz w:val="30"/>
          <w:szCs w:val="30"/>
        </w:rPr>
        <w:t>处理。</w:t>
      </w:r>
    </w:p>
    <w:p w14:paraId="0B01C33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五</w:t>
      </w:r>
      <w:r>
        <w:rPr>
          <w:rFonts w:hint="eastAsia" w:ascii="仿宋_GB2312" w:hAnsi="仿宋_GB2312" w:eastAsia="仿宋_GB2312" w:cs="仿宋_GB2312"/>
          <w:bCs/>
          <w:color w:val="auto"/>
          <w:kern w:val="1"/>
          <w:sz w:val="30"/>
          <w:szCs w:val="30"/>
        </w:rPr>
        <w:t>）与本</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有关的一切往来通讯请密封寄：</w:t>
      </w:r>
    </w:p>
    <w:p w14:paraId="1660B6DE">
      <w:pPr>
        <w:pStyle w:val="33"/>
        <w:tabs>
          <w:tab w:val="left" w:pos="180"/>
        </w:tabs>
        <w:adjustRightInd w:val="0"/>
        <w:snapToGrid w:val="0"/>
        <w:spacing w:line="600" w:lineRule="exact"/>
        <w:ind w:firstLine="600"/>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rPr>
        <w:t>公司：江苏索普化工股份有限公司</w:t>
      </w:r>
      <w:r>
        <w:rPr>
          <w:rFonts w:hint="eastAsia" w:ascii="仿宋_GB2312" w:hAnsi="仿宋_GB2312" w:eastAsia="仿宋_GB2312" w:cs="仿宋_GB2312"/>
          <w:bCs/>
          <w:color w:val="auto"/>
          <w:kern w:val="1"/>
          <w:sz w:val="30"/>
          <w:szCs w:val="30"/>
          <w:lang w:val="en-US" w:eastAsia="zh-CN"/>
        </w:rPr>
        <w:t>战略发展部</w:t>
      </w:r>
    </w:p>
    <w:p w14:paraId="67FE942A">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地址：江苏省镇江市京口区求索路101号</w:t>
      </w:r>
    </w:p>
    <w:p w14:paraId="430FC4E6">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邮编：212006</w:t>
      </w:r>
    </w:p>
    <w:p w14:paraId="262A5FBD">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收件人：</w:t>
      </w:r>
      <w:r>
        <w:rPr>
          <w:rFonts w:hint="eastAsia" w:ascii="仿宋_GB2312" w:hAnsi="仿宋_GB2312" w:eastAsia="仿宋_GB2312" w:cs="仿宋_GB2312"/>
          <w:bCs/>
          <w:color w:val="auto"/>
          <w:kern w:val="1"/>
          <w:sz w:val="30"/>
          <w:szCs w:val="30"/>
          <w:lang w:val="en-US" w:eastAsia="zh-CN"/>
        </w:rPr>
        <w:t>翟海燕</w:t>
      </w:r>
    </w:p>
    <w:p w14:paraId="6C43455D">
      <w:pPr>
        <w:adjustRightInd w:val="0"/>
        <w:snapToGrid w:val="0"/>
        <w:spacing w:line="600" w:lineRule="exact"/>
        <w:ind w:firstLine="600" w:firstLineChars="200"/>
        <w:jc w:val="left"/>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联系电话：</w:t>
      </w:r>
      <w:r>
        <w:rPr>
          <w:rFonts w:hint="eastAsia" w:ascii="仿宋_GB2312" w:hAnsi="仿宋_GB2312" w:eastAsia="仿宋_GB2312" w:cs="仿宋_GB2312"/>
          <w:bCs/>
          <w:color w:val="auto"/>
          <w:kern w:val="1"/>
          <w:sz w:val="30"/>
          <w:szCs w:val="30"/>
          <w:lang w:val="en-US" w:eastAsia="zh-CN"/>
        </w:rPr>
        <w:t>13646100466</w:t>
      </w:r>
    </w:p>
    <w:p w14:paraId="296644A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w:t>
      </w:r>
      <w:r>
        <w:rPr>
          <w:rFonts w:hint="eastAsia" w:ascii="仿宋_GB2312" w:hAnsi="仿宋_GB2312" w:eastAsia="仿宋_GB2312" w:cs="仿宋_GB2312"/>
          <w:bCs/>
          <w:color w:val="auto"/>
          <w:kern w:val="1"/>
          <w:sz w:val="30"/>
          <w:szCs w:val="30"/>
          <w:lang w:val="en-US" w:eastAsia="zh-CN"/>
        </w:rPr>
        <w:t>六</w:t>
      </w:r>
      <w:r>
        <w:rPr>
          <w:rFonts w:hint="eastAsia" w:ascii="仿宋_GB2312" w:hAnsi="仿宋_GB2312" w:eastAsia="仿宋_GB2312" w:cs="仿宋_GB2312"/>
          <w:bCs/>
          <w:color w:val="auto"/>
          <w:kern w:val="1"/>
          <w:sz w:val="30"/>
          <w:szCs w:val="30"/>
        </w:rPr>
        <w:t>）凡对</w:t>
      </w:r>
      <w:r>
        <w:rPr>
          <w:rFonts w:hint="eastAsia" w:ascii="仿宋_GB2312" w:hAnsi="仿宋_GB2312" w:eastAsia="仿宋_GB2312" w:cs="仿宋_GB2312"/>
          <w:bCs/>
          <w:color w:val="auto"/>
          <w:kern w:val="1"/>
          <w:sz w:val="30"/>
          <w:szCs w:val="30"/>
          <w:lang w:val="en-US" w:eastAsia="zh-CN"/>
        </w:rPr>
        <w:t>询价书</w:t>
      </w:r>
      <w:r>
        <w:rPr>
          <w:rFonts w:hint="eastAsia" w:ascii="仿宋_GB2312" w:hAnsi="仿宋_GB2312" w:eastAsia="仿宋_GB2312" w:cs="仿宋_GB2312"/>
          <w:bCs/>
          <w:color w:val="auto"/>
          <w:kern w:val="1"/>
          <w:sz w:val="30"/>
          <w:szCs w:val="30"/>
        </w:rPr>
        <w:t>条款有疑义的，请在</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前按以下方式联系：</w:t>
      </w:r>
    </w:p>
    <w:p w14:paraId="396DD83B">
      <w:pPr>
        <w:adjustRightInd w:val="0"/>
        <w:snapToGrid w:val="0"/>
        <w:spacing w:line="600" w:lineRule="exact"/>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rPr>
        <w:t xml:space="preserve">    联系单位：江苏索普化工股份有限公司</w:t>
      </w:r>
      <w:r>
        <w:rPr>
          <w:rFonts w:hint="eastAsia" w:ascii="仿宋_GB2312" w:hAnsi="仿宋_GB2312" w:eastAsia="仿宋_GB2312" w:cs="仿宋_GB2312"/>
          <w:bCs/>
          <w:color w:val="auto"/>
          <w:kern w:val="1"/>
          <w:sz w:val="30"/>
          <w:szCs w:val="30"/>
          <w:lang w:val="en-US" w:eastAsia="zh-CN"/>
        </w:rPr>
        <w:t>战略发展部</w:t>
      </w:r>
    </w:p>
    <w:p w14:paraId="1D03140E">
      <w:pPr>
        <w:adjustRightInd w:val="0"/>
        <w:snapToGrid w:val="0"/>
        <w:spacing w:line="600" w:lineRule="exact"/>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 xml:space="preserve">    地址：江苏省镇江市京口区求索路101号，邮编：212006</w:t>
      </w:r>
    </w:p>
    <w:p w14:paraId="619922FA">
      <w:pPr>
        <w:adjustRightInd w:val="0"/>
        <w:snapToGrid w:val="0"/>
        <w:spacing w:line="600" w:lineRule="exact"/>
        <w:ind w:firstLine="585"/>
        <w:jc w:val="left"/>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询比价</w:t>
      </w:r>
      <w:r>
        <w:rPr>
          <w:rFonts w:hint="eastAsia" w:ascii="仿宋_GB2312" w:hAnsi="仿宋_GB2312" w:eastAsia="仿宋_GB2312" w:cs="仿宋_GB2312"/>
          <w:bCs/>
          <w:color w:val="auto"/>
          <w:kern w:val="1"/>
          <w:sz w:val="30"/>
          <w:szCs w:val="30"/>
        </w:rPr>
        <w:t>业务联系人：</w:t>
      </w:r>
      <w:r>
        <w:rPr>
          <w:rFonts w:hint="eastAsia" w:ascii="仿宋_GB2312" w:hAnsi="仿宋_GB2312" w:eastAsia="仿宋_GB2312" w:cs="仿宋_GB2312"/>
          <w:bCs/>
          <w:color w:val="auto"/>
          <w:kern w:val="1"/>
          <w:sz w:val="30"/>
          <w:szCs w:val="30"/>
          <w:lang w:val="en-US" w:eastAsia="zh-CN"/>
        </w:rPr>
        <w:t>翟海燕</w:t>
      </w:r>
      <w:r>
        <w:rPr>
          <w:rFonts w:hint="eastAsia" w:ascii="仿宋_GB2312" w:hAnsi="仿宋_GB2312" w:eastAsia="仿宋_GB2312" w:cs="仿宋_GB2312"/>
          <w:bCs/>
          <w:color w:val="auto"/>
          <w:kern w:val="1"/>
          <w:sz w:val="30"/>
          <w:szCs w:val="30"/>
        </w:rPr>
        <w:t xml:space="preserve">     电话：</w:t>
      </w:r>
      <w:r>
        <w:rPr>
          <w:rFonts w:hint="eastAsia" w:ascii="仿宋_GB2312" w:hAnsi="仿宋_GB2312" w:eastAsia="仿宋_GB2312" w:cs="仿宋_GB2312"/>
          <w:bCs/>
          <w:color w:val="auto"/>
          <w:kern w:val="1"/>
          <w:sz w:val="30"/>
          <w:szCs w:val="30"/>
          <w:lang w:val="en-US" w:eastAsia="zh-CN"/>
        </w:rPr>
        <w:t>13646100466</w:t>
      </w:r>
    </w:p>
    <w:p w14:paraId="074DA956">
      <w:pPr>
        <w:adjustRightInd w:val="0"/>
        <w:snapToGrid w:val="0"/>
        <w:spacing w:line="600" w:lineRule="exact"/>
        <w:ind w:firstLine="600" w:firstLineChars="200"/>
        <w:jc w:val="left"/>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询比价</w:t>
      </w:r>
      <w:r>
        <w:rPr>
          <w:rFonts w:hint="eastAsia" w:ascii="仿宋_GB2312" w:hAnsi="仿宋_GB2312" w:eastAsia="仿宋_GB2312" w:cs="仿宋_GB2312"/>
          <w:bCs/>
          <w:color w:val="auto"/>
          <w:kern w:val="1"/>
          <w:sz w:val="30"/>
          <w:szCs w:val="30"/>
        </w:rPr>
        <w:t>部门负责人：</w:t>
      </w:r>
      <w:r>
        <w:rPr>
          <w:rFonts w:hint="eastAsia" w:ascii="仿宋_GB2312" w:hAnsi="仿宋_GB2312" w:eastAsia="仿宋_GB2312" w:cs="仿宋_GB2312"/>
          <w:bCs/>
          <w:color w:val="auto"/>
          <w:kern w:val="1"/>
          <w:sz w:val="30"/>
          <w:szCs w:val="30"/>
          <w:lang w:val="en-US" w:eastAsia="zh-CN"/>
        </w:rPr>
        <w:t>郭如涛</w:t>
      </w:r>
      <w:r>
        <w:rPr>
          <w:rFonts w:hint="eastAsia" w:ascii="仿宋_GB2312" w:hAnsi="仿宋_GB2312" w:eastAsia="仿宋_GB2312" w:cs="仿宋_GB2312"/>
          <w:bCs/>
          <w:color w:val="auto"/>
          <w:kern w:val="1"/>
          <w:sz w:val="30"/>
          <w:szCs w:val="30"/>
        </w:rPr>
        <w:t xml:space="preserve">     电话：139</w:t>
      </w:r>
      <w:r>
        <w:rPr>
          <w:rFonts w:hint="eastAsia" w:ascii="仿宋_GB2312" w:hAnsi="仿宋_GB2312" w:eastAsia="仿宋_GB2312" w:cs="仿宋_GB2312"/>
          <w:bCs/>
          <w:color w:val="auto"/>
          <w:kern w:val="1"/>
          <w:sz w:val="30"/>
          <w:szCs w:val="30"/>
          <w:lang w:val="en-US" w:eastAsia="zh-CN"/>
        </w:rPr>
        <w:t>52813406</w:t>
      </w:r>
    </w:p>
    <w:p w14:paraId="1D0F2A7D">
      <w:pPr>
        <w:adjustRightInd w:val="0"/>
        <w:snapToGrid w:val="0"/>
        <w:spacing w:line="600" w:lineRule="exact"/>
        <w:ind w:firstLine="602" w:firstLineChars="200"/>
        <w:jc w:val="left"/>
        <w:rPr>
          <w:rFonts w:hint="eastAsia" w:ascii="仿宋_GB2312" w:hAnsi="仿宋_GB2312" w:eastAsia="仿宋_GB2312" w:cs="仿宋_GB2312"/>
          <w:b/>
          <w:color w:val="auto"/>
          <w:kern w:val="1"/>
          <w:sz w:val="30"/>
          <w:szCs w:val="30"/>
        </w:rPr>
      </w:pPr>
      <w:r>
        <w:rPr>
          <w:rFonts w:hint="eastAsia" w:ascii="仿宋_GB2312" w:hAnsi="仿宋_GB2312" w:eastAsia="仿宋_GB2312" w:cs="仿宋_GB2312"/>
          <w:b/>
          <w:color w:val="auto"/>
          <w:kern w:val="1"/>
          <w:sz w:val="30"/>
          <w:szCs w:val="30"/>
        </w:rPr>
        <w:t>五、</w:t>
      </w:r>
      <w:r>
        <w:rPr>
          <w:rFonts w:hint="eastAsia" w:ascii="仿宋_GB2312" w:hAnsi="仿宋_GB2312" w:eastAsia="仿宋_GB2312" w:cs="仿宋_GB2312"/>
          <w:b/>
          <w:color w:val="auto"/>
          <w:kern w:val="1"/>
          <w:sz w:val="30"/>
          <w:szCs w:val="30"/>
          <w:lang w:val="en-US" w:eastAsia="zh-CN"/>
        </w:rPr>
        <w:t>评审流程</w:t>
      </w:r>
      <w:r>
        <w:rPr>
          <w:rFonts w:hint="eastAsia" w:ascii="仿宋_GB2312" w:hAnsi="仿宋_GB2312" w:eastAsia="仿宋_GB2312" w:cs="仿宋_GB2312"/>
          <w:b/>
          <w:color w:val="auto"/>
          <w:kern w:val="1"/>
          <w:sz w:val="30"/>
          <w:szCs w:val="30"/>
        </w:rPr>
        <w:t>：</w:t>
      </w:r>
    </w:p>
    <w:p w14:paraId="12C072AF">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（一）</w:t>
      </w:r>
      <w:r>
        <w:rPr>
          <w:rFonts w:hint="eastAsia" w:ascii="仿宋_GB2312" w:hAnsi="仿宋_GB2312" w:eastAsia="仿宋_GB2312" w:cs="仿宋_GB2312"/>
          <w:bCs/>
          <w:color w:val="auto"/>
          <w:kern w:val="1"/>
          <w:sz w:val="30"/>
          <w:szCs w:val="30"/>
          <w:lang w:val="en-US" w:eastAsia="zh-CN"/>
        </w:rPr>
        <w:t>评审</w:t>
      </w:r>
    </w:p>
    <w:p w14:paraId="1DE290D8">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本项目由</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人组织</w:t>
      </w:r>
      <w:r>
        <w:rPr>
          <w:rFonts w:hint="eastAsia" w:ascii="仿宋_GB2312" w:hAnsi="仿宋_GB2312" w:eastAsia="仿宋_GB2312" w:cs="仿宋_GB2312"/>
          <w:bCs/>
          <w:color w:val="auto"/>
          <w:kern w:val="1"/>
          <w:sz w:val="30"/>
          <w:szCs w:val="30"/>
          <w:lang w:val="en-US" w:eastAsia="zh-CN"/>
        </w:rPr>
        <w:t>评审小组</w:t>
      </w:r>
      <w:r>
        <w:rPr>
          <w:rFonts w:hint="eastAsia" w:ascii="仿宋_GB2312" w:hAnsi="仿宋_GB2312" w:eastAsia="仿宋_GB2312" w:cs="仿宋_GB2312"/>
          <w:bCs/>
          <w:color w:val="auto"/>
          <w:kern w:val="1"/>
          <w:sz w:val="30"/>
          <w:szCs w:val="30"/>
        </w:rPr>
        <w:t>负责</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工作，对各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报价进行</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bCs/>
          <w:color w:val="auto"/>
          <w:kern w:val="1"/>
          <w:sz w:val="30"/>
          <w:szCs w:val="30"/>
        </w:rPr>
        <w:t>，确定最终</w:t>
      </w:r>
      <w:r>
        <w:rPr>
          <w:rFonts w:hint="eastAsia" w:ascii="仿宋_GB2312" w:hAnsi="仿宋_GB2312" w:eastAsia="仿宋_GB2312" w:cs="仿宋_GB2312"/>
          <w:bCs/>
          <w:color w:val="auto"/>
          <w:kern w:val="1"/>
          <w:sz w:val="30"/>
          <w:szCs w:val="30"/>
          <w:lang w:val="en-US" w:eastAsia="zh-CN"/>
        </w:rPr>
        <w:t>成交人</w:t>
      </w:r>
      <w:r>
        <w:rPr>
          <w:rFonts w:hint="eastAsia" w:ascii="仿宋_GB2312" w:hAnsi="仿宋_GB2312" w:eastAsia="仿宋_GB2312" w:cs="仿宋_GB2312"/>
          <w:bCs/>
          <w:color w:val="auto"/>
          <w:kern w:val="1"/>
          <w:sz w:val="30"/>
          <w:szCs w:val="30"/>
        </w:rPr>
        <w:t>。</w:t>
      </w:r>
    </w:p>
    <w:p w14:paraId="2D1A662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1.请各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保持通讯畅通，便于</w:t>
      </w:r>
      <w:r>
        <w:rPr>
          <w:rFonts w:hint="eastAsia" w:ascii="仿宋_GB2312" w:hAnsi="仿宋_GB2312" w:eastAsia="仿宋_GB2312" w:cs="仿宋_GB2312"/>
          <w:bCs/>
          <w:color w:val="auto"/>
          <w:kern w:val="1"/>
          <w:sz w:val="30"/>
          <w:szCs w:val="30"/>
          <w:lang w:val="en-US" w:eastAsia="zh-CN"/>
        </w:rPr>
        <w:t>评审小组</w:t>
      </w:r>
      <w:r>
        <w:rPr>
          <w:rFonts w:hint="eastAsia" w:ascii="仿宋_GB2312" w:hAnsi="仿宋_GB2312" w:eastAsia="仿宋_GB2312" w:cs="仿宋_GB2312"/>
          <w:color w:val="auto"/>
          <w:kern w:val="1"/>
          <w:sz w:val="30"/>
          <w:szCs w:val="30"/>
        </w:rPr>
        <w:t>在</w:t>
      </w:r>
      <w:r>
        <w:rPr>
          <w:rFonts w:hint="eastAsia" w:ascii="仿宋_GB2312" w:hAnsi="仿宋_GB2312" w:eastAsia="仿宋_GB2312" w:cs="仿宋_GB2312"/>
          <w:bCs/>
          <w:color w:val="auto"/>
          <w:kern w:val="1"/>
          <w:sz w:val="30"/>
          <w:szCs w:val="30"/>
          <w:lang w:val="en-US" w:eastAsia="zh-CN"/>
        </w:rPr>
        <w:t>评审</w:t>
      </w:r>
      <w:r>
        <w:rPr>
          <w:rFonts w:hint="eastAsia" w:ascii="仿宋_GB2312" w:hAnsi="仿宋_GB2312" w:eastAsia="仿宋_GB2312" w:cs="仿宋_GB2312"/>
          <w:color w:val="auto"/>
          <w:kern w:val="1"/>
          <w:sz w:val="30"/>
          <w:szCs w:val="30"/>
        </w:rPr>
        <w:t>现场电话联系</w:t>
      </w:r>
      <w:r>
        <w:rPr>
          <w:rFonts w:hint="eastAsia" w:ascii="仿宋_GB2312" w:hAnsi="仿宋_GB2312" w:eastAsia="仿宋_GB2312" w:cs="仿宋_GB2312"/>
          <w:bCs/>
          <w:color w:val="auto"/>
          <w:kern w:val="1"/>
          <w:sz w:val="30"/>
          <w:szCs w:val="30"/>
        </w:rPr>
        <w:t>。</w:t>
      </w:r>
    </w:p>
    <w:p w14:paraId="14CD0D91">
      <w:pPr>
        <w:pStyle w:val="6"/>
        <w:spacing w:line="6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Cs/>
          <w:color w:val="auto"/>
          <w:kern w:val="1"/>
          <w:sz w:val="30"/>
          <w:szCs w:val="30"/>
        </w:rPr>
        <w:t>2.</w:t>
      </w:r>
      <w:r>
        <w:rPr>
          <w:rFonts w:hint="eastAsia" w:ascii="仿宋_GB2312" w:hAnsi="仿宋_GB2312" w:eastAsia="仿宋_GB2312" w:cs="仿宋_GB2312"/>
          <w:bCs/>
          <w:color w:val="auto"/>
          <w:kern w:val="1"/>
          <w:sz w:val="30"/>
          <w:szCs w:val="30"/>
          <w:lang w:val="en-US" w:eastAsia="zh-CN"/>
        </w:rPr>
        <w:t>评审小组</w:t>
      </w:r>
      <w:r>
        <w:rPr>
          <w:rFonts w:hint="eastAsia" w:ascii="仿宋_GB2312" w:hAnsi="仿宋_GB2312" w:eastAsia="仿宋_GB2312" w:cs="仿宋_GB2312"/>
          <w:bCs/>
          <w:color w:val="auto"/>
          <w:kern w:val="1"/>
          <w:sz w:val="30"/>
          <w:szCs w:val="30"/>
        </w:rPr>
        <w:t>不得泄露各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 xml:space="preserve">的报价。  </w:t>
      </w:r>
    </w:p>
    <w:p w14:paraId="201FAEE8">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lang w:eastAsia="zh-CN"/>
        </w:rPr>
      </w:pPr>
      <w:r>
        <w:rPr>
          <w:rFonts w:hint="eastAsia" w:ascii="仿宋_GB2312" w:hAnsi="仿宋_GB2312" w:eastAsia="仿宋_GB2312" w:cs="仿宋_GB2312"/>
          <w:bCs/>
          <w:color w:val="auto"/>
          <w:kern w:val="1"/>
          <w:sz w:val="30"/>
          <w:szCs w:val="30"/>
        </w:rPr>
        <w:t>（二）</w:t>
      </w:r>
      <w:r>
        <w:rPr>
          <w:rFonts w:hint="eastAsia" w:ascii="仿宋_GB2312" w:hAnsi="仿宋_GB2312" w:eastAsia="仿宋_GB2312" w:cs="仿宋_GB2312"/>
          <w:bCs/>
          <w:color w:val="auto"/>
          <w:kern w:val="1"/>
          <w:sz w:val="30"/>
          <w:szCs w:val="30"/>
          <w:lang w:val="en-US" w:eastAsia="zh-CN"/>
        </w:rPr>
        <w:t>评定</w:t>
      </w:r>
    </w:p>
    <w:p w14:paraId="713C769B">
      <w:pPr>
        <w:pStyle w:val="6"/>
        <w:spacing w:line="600" w:lineRule="exact"/>
        <w:ind w:firstLine="600" w:firstLineChars="200"/>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在能够满足</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人技术要求及供货期要求的</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中选择总价最低的一家</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作为</w:t>
      </w:r>
      <w:r>
        <w:rPr>
          <w:rFonts w:hint="eastAsia" w:ascii="仿宋_GB2312" w:hAnsi="仿宋_GB2312" w:eastAsia="仿宋_GB2312" w:cs="仿宋_GB2312"/>
          <w:bCs/>
          <w:color w:val="auto"/>
          <w:kern w:val="1"/>
          <w:sz w:val="30"/>
          <w:szCs w:val="30"/>
          <w:lang w:val="en-US" w:eastAsia="zh-CN"/>
        </w:rPr>
        <w:t>成交</w:t>
      </w:r>
      <w:r>
        <w:rPr>
          <w:rFonts w:hint="eastAsia" w:ascii="仿宋_GB2312" w:hAnsi="仿宋_GB2312" w:eastAsia="仿宋_GB2312" w:cs="仿宋_GB2312"/>
          <w:bCs/>
          <w:color w:val="auto"/>
          <w:kern w:val="1"/>
          <w:sz w:val="30"/>
          <w:szCs w:val="30"/>
        </w:rPr>
        <w:t>候选人。</w:t>
      </w:r>
    </w:p>
    <w:p w14:paraId="6EBB4120">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（三）流标</w:t>
      </w:r>
    </w:p>
    <w:p w14:paraId="6C942DB4">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采购人</w:t>
      </w:r>
      <w:r>
        <w:rPr>
          <w:rFonts w:hint="eastAsia" w:ascii="仿宋_GB2312" w:hAnsi="仿宋_GB2312" w:eastAsia="仿宋_GB2312" w:cs="仿宋_GB2312"/>
          <w:bCs/>
          <w:color w:val="auto"/>
          <w:kern w:val="1"/>
          <w:sz w:val="30"/>
          <w:szCs w:val="30"/>
        </w:rPr>
        <w:t>如发现</w:t>
      </w:r>
      <w:r>
        <w:rPr>
          <w:rFonts w:hint="eastAsia" w:ascii="仿宋_GB2312" w:hAnsi="仿宋_GB2312" w:eastAsia="仿宋_GB2312" w:cs="仿宋_GB2312"/>
          <w:bCs/>
          <w:color w:val="auto"/>
          <w:kern w:val="1"/>
          <w:sz w:val="30"/>
          <w:szCs w:val="30"/>
          <w:lang w:val="en-US" w:eastAsia="zh-CN"/>
        </w:rPr>
        <w:t>询比价</w:t>
      </w:r>
      <w:r>
        <w:rPr>
          <w:rFonts w:hint="eastAsia" w:ascii="仿宋_GB2312" w:hAnsi="仿宋_GB2312" w:eastAsia="仿宋_GB2312" w:cs="仿宋_GB2312"/>
          <w:bCs/>
          <w:color w:val="auto"/>
          <w:kern w:val="1"/>
          <w:sz w:val="30"/>
          <w:szCs w:val="30"/>
        </w:rPr>
        <w:t>过程中有围标、串标</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陪标</w:t>
      </w:r>
      <w:r>
        <w:rPr>
          <w:rFonts w:hint="eastAsia" w:ascii="仿宋_GB2312" w:hAnsi="仿宋_GB2312" w:eastAsia="仿宋_GB2312" w:cs="仿宋_GB2312"/>
          <w:bCs/>
          <w:color w:val="auto"/>
          <w:kern w:val="1"/>
          <w:sz w:val="30"/>
          <w:szCs w:val="30"/>
        </w:rPr>
        <w:t>等扰乱</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人经营秩序的恶劣情况，经</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人评</w:t>
      </w:r>
      <w:r>
        <w:rPr>
          <w:rFonts w:hint="eastAsia" w:ascii="仿宋_GB2312" w:hAnsi="仿宋_GB2312" w:eastAsia="仿宋_GB2312" w:cs="仿宋_GB2312"/>
          <w:bCs/>
          <w:color w:val="auto"/>
          <w:kern w:val="1"/>
          <w:sz w:val="30"/>
          <w:szCs w:val="30"/>
          <w:lang w:val="en-US" w:eastAsia="zh-CN"/>
        </w:rPr>
        <w:t>审</w:t>
      </w:r>
      <w:r>
        <w:rPr>
          <w:rFonts w:hint="eastAsia" w:ascii="仿宋_GB2312" w:hAnsi="仿宋_GB2312" w:eastAsia="仿宋_GB2312" w:cs="仿宋_GB2312"/>
          <w:bCs/>
          <w:color w:val="auto"/>
          <w:kern w:val="1"/>
          <w:sz w:val="30"/>
          <w:szCs w:val="30"/>
        </w:rPr>
        <w:t>小组评定可作流标处理，并可将相关</w:t>
      </w:r>
      <w:r>
        <w:rPr>
          <w:rFonts w:hint="eastAsia" w:ascii="仿宋_GB2312" w:hAnsi="仿宋_GB2312" w:eastAsia="仿宋_GB2312" w:cs="仿宋_GB2312"/>
          <w:bCs/>
          <w:color w:val="auto"/>
          <w:kern w:val="1"/>
          <w:sz w:val="30"/>
          <w:szCs w:val="30"/>
          <w:lang w:val="en-US" w:eastAsia="zh-CN"/>
        </w:rPr>
        <w:t>供应商</w:t>
      </w:r>
      <w:r>
        <w:rPr>
          <w:rFonts w:hint="eastAsia" w:ascii="仿宋_GB2312" w:hAnsi="仿宋_GB2312" w:eastAsia="仿宋_GB2312" w:cs="仿宋_GB2312"/>
          <w:bCs/>
          <w:color w:val="auto"/>
          <w:kern w:val="1"/>
          <w:sz w:val="30"/>
          <w:szCs w:val="30"/>
        </w:rPr>
        <w:t>列入供应商负面清单，不再接受参与</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工作。</w:t>
      </w:r>
    </w:p>
    <w:p w14:paraId="1109E93B">
      <w:pPr>
        <w:adjustRightInd w:val="0"/>
        <w:snapToGrid w:val="0"/>
        <w:spacing w:line="600" w:lineRule="exact"/>
        <w:ind w:firstLine="600" w:firstLineChars="200"/>
        <w:jc w:val="left"/>
        <w:rPr>
          <w:rFonts w:hint="default"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rPr>
        <w:t>（四）</w:t>
      </w:r>
      <w:r>
        <w:rPr>
          <w:rFonts w:hint="eastAsia" w:ascii="仿宋_GB2312" w:hAnsi="仿宋_GB2312" w:eastAsia="仿宋_GB2312" w:cs="仿宋_GB2312"/>
          <w:bCs/>
          <w:color w:val="auto"/>
          <w:kern w:val="1"/>
          <w:sz w:val="30"/>
          <w:szCs w:val="30"/>
          <w:lang w:val="en-US" w:eastAsia="zh-CN"/>
        </w:rPr>
        <w:t>无效报价</w:t>
      </w:r>
    </w:p>
    <w:p w14:paraId="217A88EC">
      <w:pPr>
        <w:adjustRightInd w:val="0"/>
        <w:snapToGrid w:val="0"/>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lang w:val="en-US" w:eastAsia="zh-CN"/>
        </w:rPr>
        <w:t>1.</w:t>
      </w:r>
      <w:r>
        <w:rPr>
          <w:rFonts w:hint="eastAsia" w:ascii="仿宋_GB2312" w:hAnsi="仿宋_GB2312" w:eastAsia="仿宋_GB2312" w:cs="仿宋_GB2312"/>
          <w:bCs/>
          <w:color w:val="auto"/>
          <w:kern w:val="1"/>
          <w:sz w:val="30"/>
          <w:szCs w:val="30"/>
        </w:rPr>
        <w:t>凡供应商不具备</w:t>
      </w:r>
      <w:r>
        <w:rPr>
          <w:rFonts w:hint="eastAsia" w:ascii="仿宋_GB2312" w:hAnsi="仿宋_GB2312" w:eastAsia="仿宋_GB2312" w:cs="仿宋_GB2312"/>
          <w:bCs/>
          <w:color w:val="auto"/>
          <w:kern w:val="1"/>
          <w:sz w:val="30"/>
          <w:szCs w:val="30"/>
          <w:lang w:val="en-US" w:eastAsia="zh-CN"/>
        </w:rPr>
        <w:t>采购人</w:t>
      </w:r>
      <w:r>
        <w:rPr>
          <w:rFonts w:hint="eastAsia" w:ascii="仿宋_GB2312" w:hAnsi="仿宋_GB2312" w:eastAsia="仿宋_GB2312" w:cs="仿宋_GB2312"/>
          <w:bCs/>
          <w:color w:val="auto"/>
          <w:kern w:val="1"/>
          <w:sz w:val="30"/>
          <w:szCs w:val="30"/>
        </w:rPr>
        <w:t>明确要求资质的，或</w:t>
      </w:r>
      <w:r>
        <w:rPr>
          <w:rFonts w:hint="eastAsia" w:ascii="仿宋_GB2312" w:hAnsi="仿宋_GB2312" w:eastAsia="仿宋_GB2312" w:cs="仿宋_GB2312"/>
          <w:bCs/>
          <w:color w:val="auto"/>
          <w:kern w:val="1"/>
          <w:sz w:val="30"/>
          <w:szCs w:val="30"/>
          <w:lang w:val="en-US" w:eastAsia="zh-CN"/>
        </w:rPr>
        <w:t>报价</w:t>
      </w:r>
      <w:r>
        <w:rPr>
          <w:rFonts w:hint="eastAsia" w:ascii="仿宋_GB2312" w:hAnsi="仿宋_GB2312" w:eastAsia="仿宋_GB2312" w:cs="仿宋_GB2312"/>
          <w:bCs/>
          <w:color w:val="auto"/>
          <w:kern w:val="1"/>
          <w:sz w:val="30"/>
          <w:szCs w:val="30"/>
        </w:rPr>
        <w:t>文件填写不完整、报价有空项的，或不符合技术要求条款的，或者存在其他不符合</w:t>
      </w:r>
      <w:r>
        <w:rPr>
          <w:rFonts w:hint="eastAsia" w:ascii="仿宋_GB2312" w:hAnsi="仿宋_GB2312" w:eastAsia="仿宋_GB2312" w:cs="仿宋_GB2312"/>
          <w:bCs/>
          <w:color w:val="auto"/>
          <w:kern w:val="1"/>
          <w:sz w:val="30"/>
          <w:szCs w:val="30"/>
          <w:lang w:val="en-US" w:eastAsia="zh-CN"/>
        </w:rPr>
        <w:t>采购人</w:t>
      </w:r>
      <w:r>
        <w:rPr>
          <w:rFonts w:hint="eastAsia" w:ascii="仿宋_GB2312" w:hAnsi="仿宋_GB2312" w:eastAsia="仿宋_GB2312" w:cs="仿宋_GB2312"/>
          <w:bCs/>
          <w:color w:val="auto"/>
          <w:kern w:val="1"/>
          <w:sz w:val="30"/>
          <w:szCs w:val="30"/>
        </w:rPr>
        <w:t>有关要求的问题，经</w:t>
      </w:r>
      <w:r>
        <w:rPr>
          <w:rFonts w:hint="eastAsia" w:ascii="仿宋_GB2312" w:hAnsi="仿宋_GB2312" w:eastAsia="仿宋_GB2312" w:cs="仿宋_GB2312"/>
          <w:bCs/>
          <w:color w:val="auto"/>
          <w:kern w:val="1"/>
          <w:sz w:val="30"/>
          <w:szCs w:val="30"/>
          <w:lang w:val="en-US" w:eastAsia="zh-CN"/>
        </w:rPr>
        <w:t>采购</w:t>
      </w:r>
      <w:r>
        <w:rPr>
          <w:rFonts w:hint="eastAsia" w:ascii="仿宋_GB2312" w:hAnsi="仿宋_GB2312" w:eastAsia="仿宋_GB2312" w:cs="仿宋_GB2312"/>
          <w:bCs/>
          <w:color w:val="auto"/>
          <w:kern w:val="1"/>
          <w:sz w:val="30"/>
          <w:szCs w:val="30"/>
        </w:rPr>
        <w:t>人评</w:t>
      </w:r>
      <w:r>
        <w:rPr>
          <w:rFonts w:hint="eastAsia" w:ascii="仿宋_GB2312" w:hAnsi="仿宋_GB2312" w:eastAsia="仿宋_GB2312" w:cs="仿宋_GB2312"/>
          <w:bCs/>
          <w:color w:val="auto"/>
          <w:kern w:val="1"/>
          <w:sz w:val="30"/>
          <w:szCs w:val="30"/>
          <w:lang w:val="en-US" w:eastAsia="zh-CN"/>
        </w:rPr>
        <w:t>审</w:t>
      </w:r>
      <w:r>
        <w:rPr>
          <w:rFonts w:hint="eastAsia" w:ascii="仿宋_GB2312" w:hAnsi="仿宋_GB2312" w:eastAsia="仿宋_GB2312" w:cs="仿宋_GB2312"/>
          <w:bCs/>
          <w:color w:val="auto"/>
          <w:kern w:val="1"/>
          <w:sz w:val="30"/>
          <w:szCs w:val="30"/>
        </w:rPr>
        <w:t>小组评定，可</w:t>
      </w:r>
      <w:r>
        <w:rPr>
          <w:rFonts w:hint="eastAsia" w:ascii="仿宋_GB2312" w:hAnsi="仿宋_GB2312" w:eastAsia="仿宋_GB2312" w:cs="仿宋_GB2312"/>
          <w:bCs/>
          <w:color w:val="auto"/>
          <w:kern w:val="1"/>
          <w:sz w:val="30"/>
          <w:szCs w:val="30"/>
          <w:lang w:val="en-US" w:eastAsia="zh-CN"/>
        </w:rPr>
        <w:t>作无效报价</w:t>
      </w:r>
      <w:r>
        <w:rPr>
          <w:rFonts w:hint="eastAsia" w:ascii="仿宋_GB2312" w:hAnsi="仿宋_GB2312" w:eastAsia="仿宋_GB2312" w:cs="仿宋_GB2312"/>
          <w:bCs/>
          <w:color w:val="auto"/>
          <w:kern w:val="1"/>
          <w:sz w:val="30"/>
          <w:szCs w:val="30"/>
        </w:rPr>
        <w:t>处理。</w:t>
      </w:r>
    </w:p>
    <w:p w14:paraId="4F75FF1C">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2.</w:t>
      </w:r>
      <w:r>
        <w:rPr>
          <w:rFonts w:hint="eastAsia" w:ascii="仿宋_GB2312" w:hAnsi="仿宋_GB2312" w:eastAsia="仿宋_GB2312" w:cs="仿宋_GB2312"/>
          <w:bCs/>
          <w:color w:val="auto"/>
          <w:kern w:val="1"/>
          <w:sz w:val="30"/>
          <w:szCs w:val="30"/>
        </w:rPr>
        <w:t>供应商</w:t>
      </w:r>
      <w:r>
        <w:rPr>
          <w:rFonts w:hint="eastAsia" w:ascii="仿宋_GB2312" w:hAnsi="仿宋_GB2312" w:eastAsia="仿宋_GB2312" w:cs="仿宋_GB2312"/>
          <w:bCs/>
          <w:color w:val="auto"/>
          <w:kern w:val="1"/>
          <w:sz w:val="30"/>
          <w:szCs w:val="30"/>
          <w:lang w:val="en-US" w:eastAsia="zh-CN"/>
        </w:rPr>
        <w:t>应如实提供符合市场规律和自身成本的合理报价。如果</w:t>
      </w:r>
      <w:r>
        <w:rPr>
          <w:rFonts w:hint="eastAsia" w:ascii="仿宋_GB2312" w:hAnsi="仿宋_GB2312" w:eastAsia="仿宋_GB2312" w:cs="仿宋_GB2312"/>
          <w:bCs/>
          <w:color w:val="auto"/>
          <w:kern w:val="1"/>
          <w:sz w:val="30"/>
          <w:szCs w:val="30"/>
        </w:rPr>
        <w:t>供应商</w:t>
      </w:r>
      <w:r>
        <w:rPr>
          <w:rFonts w:hint="eastAsia" w:ascii="仿宋_GB2312" w:hAnsi="仿宋_GB2312" w:eastAsia="仿宋_GB2312" w:cs="仿宋_GB2312"/>
          <w:bCs/>
          <w:color w:val="auto"/>
          <w:kern w:val="1"/>
          <w:sz w:val="30"/>
          <w:szCs w:val="30"/>
          <w:lang w:val="en-US" w:eastAsia="zh-CN"/>
        </w:rPr>
        <w:t>的报价与市场价格明显偏离并因此影响了询比价活动的公正合理性，损害了采购人的正当利益，经采购</w:t>
      </w:r>
      <w:r>
        <w:rPr>
          <w:rFonts w:hint="eastAsia" w:ascii="仿宋_GB2312" w:hAnsi="仿宋_GB2312" w:eastAsia="仿宋_GB2312" w:cs="仿宋_GB2312"/>
          <w:bCs/>
          <w:color w:val="auto"/>
          <w:kern w:val="1"/>
          <w:sz w:val="30"/>
          <w:szCs w:val="30"/>
        </w:rPr>
        <w:t>人评</w:t>
      </w:r>
      <w:r>
        <w:rPr>
          <w:rFonts w:hint="eastAsia" w:ascii="仿宋_GB2312" w:hAnsi="仿宋_GB2312" w:eastAsia="仿宋_GB2312" w:cs="仿宋_GB2312"/>
          <w:bCs/>
          <w:color w:val="auto"/>
          <w:kern w:val="1"/>
          <w:sz w:val="30"/>
          <w:szCs w:val="30"/>
          <w:lang w:val="en-US" w:eastAsia="zh-CN"/>
        </w:rPr>
        <w:t>审</w:t>
      </w:r>
      <w:r>
        <w:rPr>
          <w:rFonts w:hint="eastAsia" w:ascii="仿宋_GB2312" w:hAnsi="仿宋_GB2312" w:eastAsia="仿宋_GB2312" w:cs="仿宋_GB2312"/>
          <w:bCs/>
          <w:color w:val="auto"/>
          <w:kern w:val="1"/>
          <w:sz w:val="30"/>
          <w:szCs w:val="30"/>
        </w:rPr>
        <w:t>小组</w:t>
      </w:r>
      <w:r>
        <w:rPr>
          <w:rFonts w:hint="eastAsia" w:ascii="仿宋_GB2312" w:hAnsi="仿宋_GB2312" w:eastAsia="仿宋_GB2312" w:cs="仿宋_GB2312"/>
          <w:bCs/>
          <w:color w:val="auto"/>
          <w:kern w:val="1"/>
          <w:sz w:val="30"/>
          <w:szCs w:val="30"/>
          <w:lang w:val="en-US" w:eastAsia="zh-CN"/>
        </w:rPr>
        <w:t>评定，</w:t>
      </w:r>
      <w:r>
        <w:rPr>
          <w:rFonts w:hint="eastAsia" w:ascii="仿宋_GB2312" w:hAnsi="仿宋_GB2312" w:eastAsia="仿宋_GB2312" w:cs="仿宋_GB2312"/>
          <w:bCs/>
          <w:color w:val="auto"/>
          <w:kern w:val="1"/>
          <w:sz w:val="30"/>
          <w:szCs w:val="30"/>
        </w:rPr>
        <w:t>可</w:t>
      </w:r>
      <w:r>
        <w:rPr>
          <w:rFonts w:hint="eastAsia" w:ascii="仿宋_GB2312" w:hAnsi="仿宋_GB2312" w:eastAsia="仿宋_GB2312" w:cs="仿宋_GB2312"/>
          <w:bCs/>
          <w:color w:val="auto"/>
          <w:kern w:val="1"/>
          <w:sz w:val="30"/>
          <w:szCs w:val="30"/>
          <w:lang w:val="en-US" w:eastAsia="zh-CN"/>
        </w:rPr>
        <w:t>作无效报价</w:t>
      </w:r>
      <w:r>
        <w:rPr>
          <w:rFonts w:hint="eastAsia" w:ascii="仿宋_GB2312" w:hAnsi="仿宋_GB2312" w:eastAsia="仿宋_GB2312" w:cs="仿宋_GB2312"/>
          <w:bCs/>
          <w:color w:val="auto"/>
          <w:kern w:val="1"/>
          <w:sz w:val="30"/>
          <w:szCs w:val="30"/>
        </w:rPr>
        <w:t>处理。</w:t>
      </w:r>
    </w:p>
    <w:p w14:paraId="68C9B7EB">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其他注意事项：</w:t>
      </w:r>
    </w:p>
    <w:p w14:paraId="76FDB930">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（一）违约责任：</w:t>
      </w:r>
    </w:p>
    <w:p w14:paraId="62433304">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如供应商没有按照规定的时间交货或提供服务，供应商将支付违约金，违约金应从服务金中扣除，未提供服务的违约金逾期每日应按合同总金额的1%计收。但未提供服务超过20日，我公司有权解除合同,要求供应商五个工作日内返还我公司服务金并按合同总额20%追究供应商违约责任。</w:t>
      </w:r>
    </w:p>
    <w:p w14:paraId="5FB64694">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（二）成交人应严格按照询价书约定与采购人签定供需合同，并按合同约定做好物资供应和服务工作。对成交人所有违背询价书及合同约定的行为，采购人均可持续保留与成交人中止合作的一切权利。　</w:t>
      </w:r>
    </w:p>
    <w:p w14:paraId="3F851567">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（三）如因成交人不能正常履约，严重影响采购人生产经营活动的，采购人将依法追究成交人法律责任。</w:t>
      </w:r>
    </w:p>
    <w:p w14:paraId="1CBDF738">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（四）成交人无正当理由不与采购人签订合同的，将承担违约责任，列入采购人供应商负面清单。</w:t>
      </w:r>
    </w:p>
    <w:p w14:paraId="7F3E2B0B">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（五）供应商应详细阅读本询价书，参与报价即视为对本询价书所列之条款均表示接受。</w:t>
      </w:r>
    </w:p>
    <w:p w14:paraId="62B7AF7E">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（六）采购人对违反约定的供应商或成交人将按《江苏索普化工股份有限公司供应商负面清单管理规定》进行管理考核（详见附件1）。</w:t>
      </w:r>
    </w:p>
    <w:p w14:paraId="7E98EBDA">
      <w:pPr>
        <w:pStyle w:val="6"/>
        <w:ind w:firstLine="600" w:firstLineChars="200"/>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t>（七）本次询比价解释权归江苏索普化工股份有限公司供应保障部所有；风险控制部投诉电话：0511-88995150、88995690。</w:t>
      </w:r>
    </w:p>
    <w:p w14:paraId="7754BC1A">
      <w:pPr>
        <w:adjustRightInd w:val="0"/>
        <w:snapToGrid w:val="0"/>
        <w:spacing w:line="600" w:lineRule="exact"/>
        <w:ind w:firstLine="480" w:firstLineChars="200"/>
        <w:jc w:val="left"/>
        <w:rPr>
          <w:rFonts w:hint="eastAsia" w:ascii="仿宋_GB2312" w:eastAsia="仿宋_GB2312" w:cs="‹ÎSå"/>
          <w:bCs/>
          <w:color w:val="auto"/>
          <w:kern w:val="1"/>
          <w:sz w:val="24"/>
        </w:rPr>
      </w:pPr>
    </w:p>
    <w:p w14:paraId="5C7982A2">
      <w:pPr>
        <w:pStyle w:val="2"/>
        <w:pageBreakBefore/>
        <w:spacing w:line="600" w:lineRule="exact"/>
        <w:jc w:val="center"/>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14:paraId="14C0B9D5">
      <w:pPr>
        <w:tabs>
          <w:tab w:val="left" w:pos="180"/>
        </w:tabs>
        <w:spacing w:line="600" w:lineRule="exac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14:paraId="6875C22F">
      <w:pPr>
        <w:spacing w:line="60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w:t>
      </w:r>
      <w:r>
        <w:rPr>
          <w:rFonts w:hint="eastAsia" w:ascii="仿宋_GB2312" w:hAnsi="仿宋_GB2312" w:eastAsia="仿宋_GB2312" w:cs="仿宋_GB2312"/>
          <w:color w:val="auto"/>
          <w:kern w:val="1"/>
          <w:sz w:val="30"/>
          <w:szCs w:val="30"/>
          <w:u w:val="single"/>
          <w:lang w:val="en-US" w:eastAsia="zh-CN"/>
        </w:rPr>
        <w:t>报价</w:t>
      </w:r>
      <w:r>
        <w:rPr>
          <w:rFonts w:hint="eastAsia" w:ascii="仿宋_GB2312" w:hAnsi="仿宋_GB2312" w:eastAsia="仿宋_GB2312" w:cs="仿宋_GB2312"/>
          <w:color w:val="auto"/>
          <w:kern w:val="1"/>
          <w:sz w:val="30"/>
          <w:szCs w:val="30"/>
          <w:u w:val="single"/>
        </w:rPr>
        <w:t>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w:t>
      </w:r>
      <w:r>
        <w:rPr>
          <w:rFonts w:hint="eastAsia" w:ascii="仿宋_GB2312" w:hAnsi="仿宋_GB2312" w:eastAsia="仿宋_GB2312" w:cs="仿宋_GB2312"/>
          <w:color w:val="auto"/>
          <w:kern w:val="1"/>
          <w:sz w:val="30"/>
          <w:szCs w:val="30"/>
          <w:lang w:val="en-US" w:eastAsia="zh-CN"/>
        </w:rPr>
        <w:t>公开询比价</w:t>
      </w:r>
      <w:r>
        <w:rPr>
          <w:rFonts w:hint="eastAsia" w:ascii="仿宋_GB2312" w:hAnsi="仿宋_GB2312" w:eastAsia="仿宋_GB2312" w:cs="仿宋_GB2312"/>
          <w:color w:val="auto"/>
          <w:kern w:val="1"/>
          <w:sz w:val="30"/>
          <w:szCs w:val="30"/>
        </w:rPr>
        <w:t>有关活动，并对该项目进行报价。</w:t>
      </w:r>
    </w:p>
    <w:p w14:paraId="1D39DB55">
      <w:pPr>
        <w:spacing w:line="60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1、项目总价（含税）为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%，如有分项报价，请另附分项报价清单；</w:t>
      </w:r>
    </w:p>
    <w:p w14:paraId="68AD896B">
      <w:pPr>
        <w:pStyle w:val="6"/>
        <w:spacing w:line="600" w:lineRule="exact"/>
        <w:ind w:firstLine="600" w:firstLineChars="200"/>
        <w:rPr>
          <w:color w:val="auto"/>
          <w:sz w:val="30"/>
          <w:szCs w:val="30"/>
        </w:rPr>
      </w:pPr>
      <w:r>
        <w:rPr>
          <w:rFonts w:hint="eastAsia" w:ascii="仿宋_GB2312" w:hAnsi="仿宋_GB2312" w:eastAsia="仿宋_GB2312" w:cs="仿宋_GB2312"/>
          <w:color w:val="auto"/>
          <w:kern w:val="1"/>
          <w:sz w:val="30"/>
          <w:szCs w:val="30"/>
        </w:rPr>
        <w:t>2、交货时间：</w:t>
      </w:r>
      <w:r>
        <w:rPr>
          <w:rFonts w:hint="eastAsia" w:ascii="仿宋_GB2312" w:hAnsi="仿宋_GB2312" w:eastAsia="仿宋_GB2312" w:cs="仿宋_GB2312"/>
          <w:color w:val="auto"/>
          <w:kern w:val="1"/>
          <w:sz w:val="30"/>
          <w:szCs w:val="30"/>
          <w:u w:val="single"/>
        </w:rPr>
        <w:t xml:space="preserve">               </w:t>
      </w:r>
    </w:p>
    <w:p w14:paraId="50B7CC08">
      <w:pPr>
        <w:spacing w:line="60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3、我公司已详细审查全部</w:t>
      </w:r>
      <w:r>
        <w:rPr>
          <w:rFonts w:hint="eastAsia" w:ascii="仿宋_GB2312" w:hAnsi="仿宋_GB2312" w:eastAsia="仿宋_GB2312" w:cs="仿宋_GB2312"/>
          <w:color w:val="auto"/>
          <w:sz w:val="30"/>
          <w:szCs w:val="30"/>
          <w:shd w:val="clear" w:color="auto" w:fill="FFFFFF"/>
          <w:lang w:val="en-US" w:eastAsia="zh-CN"/>
        </w:rPr>
        <w:t>询价书</w:t>
      </w:r>
      <w:r>
        <w:rPr>
          <w:rFonts w:hint="eastAsia" w:ascii="仿宋_GB2312" w:hAnsi="仿宋_GB2312" w:eastAsia="仿宋_GB2312" w:cs="仿宋_GB2312"/>
          <w:color w:val="auto"/>
          <w:sz w:val="30"/>
          <w:szCs w:val="30"/>
          <w:shd w:val="clear" w:color="auto" w:fill="FFFFFF"/>
        </w:rPr>
        <w:t>，包括补充文件（如有）。我公司完全理解并同意放弃对这方面有不明及误解的权</w:t>
      </w:r>
      <w:r>
        <w:rPr>
          <w:rFonts w:hint="eastAsia" w:ascii="仿宋_GB2312" w:hAnsi="仿宋_GB2312" w:eastAsia="仿宋_GB2312" w:cs="仿宋_GB2312"/>
          <w:color w:val="auto"/>
          <w:sz w:val="30"/>
          <w:szCs w:val="30"/>
          <w:shd w:val="clear" w:color="auto" w:fill="FFFFFF"/>
          <w:lang w:val="en-US" w:eastAsia="zh-CN"/>
        </w:rPr>
        <w:t>利</w:t>
      </w:r>
      <w:r>
        <w:rPr>
          <w:rFonts w:hint="eastAsia" w:ascii="仿宋_GB2312" w:hAnsi="仿宋_GB2312" w:eastAsia="仿宋_GB2312" w:cs="仿宋_GB2312"/>
          <w:color w:val="auto"/>
          <w:sz w:val="30"/>
          <w:szCs w:val="30"/>
          <w:shd w:val="clear" w:color="auto" w:fill="FFFFFF"/>
        </w:rPr>
        <w:t>，同时完全接受</w:t>
      </w:r>
      <w:r>
        <w:rPr>
          <w:rFonts w:hint="eastAsia" w:ascii="仿宋_GB2312" w:hAnsi="仿宋_GB2312" w:eastAsia="仿宋_GB2312" w:cs="仿宋_GB2312"/>
          <w:color w:val="auto"/>
          <w:sz w:val="30"/>
          <w:szCs w:val="30"/>
          <w:shd w:val="clear" w:color="auto" w:fill="FFFFFF"/>
          <w:lang w:val="en-US" w:eastAsia="zh-CN"/>
        </w:rPr>
        <w:t>询价书</w:t>
      </w:r>
      <w:r>
        <w:rPr>
          <w:rFonts w:hint="eastAsia" w:ascii="仿宋_GB2312" w:hAnsi="仿宋_GB2312" w:eastAsia="仿宋_GB2312" w:cs="仿宋_GB2312"/>
          <w:color w:val="auto"/>
          <w:sz w:val="30"/>
          <w:szCs w:val="30"/>
          <w:shd w:val="clear" w:color="auto" w:fill="FFFFFF"/>
        </w:rPr>
        <w:t>所有条款。如果</w:t>
      </w:r>
      <w:r>
        <w:rPr>
          <w:rFonts w:hint="eastAsia" w:ascii="仿宋_GB2312" w:hAnsi="仿宋_GB2312" w:eastAsia="仿宋_GB2312" w:cs="仿宋_GB2312"/>
          <w:color w:val="auto"/>
          <w:sz w:val="30"/>
          <w:szCs w:val="30"/>
          <w:shd w:val="clear" w:color="auto" w:fill="FFFFFF"/>
          <w:lang w:val="en-US" w:eastAsia="zh-CN"/>
        </w:rPr>
        <w:t>询价书</w:t>
      </w:r>
      <w:r>
        <w:rPr>
          <w:rFonts w:hint="eastAsia" w:ascii="仿宋_GB2312" w:hAnsi="仿宋_GB2312" w:eastAsia="仿宋_GB2312" w:cs="仿宋_GB2312"/>
          <w:color w:val="auto"/>
          <w:sz w:val="30"/>
          <w:szCs w:val="30"/>
          <w:shd w:val="clear" w:color="auto" w:fill="FFFFFF"/>
        </w:rPr>
        <w:t>有相互矛盾之处，我公司同意按贵方的解释处理；</w:t>
      </w:r>
    </w:p>
    <w:p w14:paraId="7356C286">
      <w:pPr>
        <w:spacing w:line="60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4、我公司愿意向江苏索普化工股份有限公司提供任何与该项报价有关的数据、情况和技术资料，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14:paraId="501C2E54">
      <w:pPr>
        <w:pStyle w:val="6"/>
        <w:spacing w:line="600" w:lineRule="exact"/>
        <w:ind w:firstLine="600" w:firstLineChars="200"/>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bCs/>
          <w:color w:val="auto"/>
          <w:kern w:val="1"/>
          <w:sz w:val="30"/>
          <w:szCs w:val="30"/>
        </w:rPr>
        <w:t>5、对</w:t>
      </w:r>
      <w:r>
        <w:rPr>
          <w:rFonts w:hint="eastAsia" w:ascii="仿宋_GB2312" w:hAnsi="仿宋_GB2312" w:eastAsia="仿宋_GB2312" w:cs="仿宋_GB2312"/>
          <w:color w:val="auto"/>
          <w:sz w:val="30"/>
          <w:szCs w:val="30"/>
          <w:shd w:val="clear" w:color="auto" w:fill="FFFFFF"/>
          <w:lang w:val="en-US" w:eastAsia="zh-CN"/>
        </w:rPr>
        <w:t>询价书</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14:paraId="56DA38F9">
      <w:pPr>
        <w:pStyle w:val="6"/>
        <w:spacing w:line="600" w:lineRule="exac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u w:val="single"/>
        </w:rPr>
        <w:t xml:space="preserve">                                                              </w:t>
      </w:r>
    </w:p>
    <w:p w14:paraId="60CFA9EC">
      <w:pPr>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我公司郑重承诺：</w:t>
      </w:r>
      <w:r>
        <w:rPr>
          <w:rFonts w:hint="eastAsia" w:ascii="仿宋_GB2312" w:hAnsi="仿宋_GB2312" w:eastAsia="仿宋_GB2312" w:cs="仿宋_GB2312"/>
          <w:color w:val="auto"/>
          <w:kern w:val="1"/>
          <w:sz w:val="30"/>
          <w:szCs w:val="30"/>
        </w:rPr>
        <w:t>遵守</w:t>
      </w:r>
      <w:r>
        <w:rPr>
          <w:rFonts w:hint="eastAsia" w:ascii="仿宋_GB2312" w:hAnsi="仿宋_GB2312" w:eastAsia="仿宋_GB2312" w:cs="仿宋_GB2312"/>
          <w:bCs/>
          <w:color w:val="auto"/>
          <w:kern w:val="1"/>
          <w:sz w:val="30"/>
          <w:szCs w:val="30"/>
        </w:rPr>
        <w:t>江苏索普化工股份有限公司</w:t>
      </w:r>
      <w:r>
        <w:rPr>
          <w:rFonts w:hint="eastAsia" w:ascii="仿宋_GB2312" w:hAnsi="仿宋_GB2312" w:eastAsia="仿宋_GB2312" w:cs="仿宋_GB2312"/>
          <w:color w:val="auto"/>
          <w:sz w:val="30"/>
          <w:szCs w:val="30"/>
          <w:shd w:val="clear" w:color="auto" w:fill="FFFFFF"/>
          <w:lang w:val="en-US" w:eastAsia="zh-CN"/>
        </w:rPr>
        <w:t>询价书</w:t>
      </w:r>
      <w:r>
        <w:rPr>
          <w:rFonts w:hint="eastAsia" w:ascii="仿宋_GB2312" w:hAnsi="仿宋_GB2312" w:eastAsia="仿宋_GB2312" w:cs="仿宋_GB2312"/>
          <w:color w:val="auto"/>
          <w:kern w:val="1"/>
          <w:sz w:val="30"/>
          <w:szCs w:val="30"/>
        </w:rPr>
        <w:t>中的全部规定，</w:t>
      </w:r>
      <w:r>
        <w:rPr>
          <w:rFonts w:hint="eastAsia" w:ascii="仿宋_GB2312" w:hAnsi="仿宋_GB2312" w:eastAsia="仿宋_GB2312" w:cs="仿宋_GB2312"/>
          <w:bCs/>
          <w:color w:val="auto"/>
          <w:kern w:val="1"/>
          <w:sz w:val="30"/>
          <w:szCs w:val="30"/>
          <w:lang w:val="en-US" w:eastAsia="zh-CN"/>
        </w:rPr>
        <w:t>评定</w:t>
      </w:r>
      <w:r>
        <w:rPr>
          <w:rFonts w:hint="eastAsia" w:ascii="仿宋_GB2312" w:hAnsi="仿宋_GB2312" w:eastAsia="仿宋_GB2312" w:cs="仿宋_GB2312"/>
          <w:bCs/>
          <w:color w:val="auto"/>
          <w:kern w:val="1"/>
          <w:sz w:val="30"/>
          <w:szCs w:val="30"/>
        </w:rPr>
        <w:t>后及时签订合同,并承担合同规定的责任和义务；在报价过程中将严格遵守江苏索普化工股份有限公司</w:t>
      </w:r>
      <w:r>
        <w:rPr>
          <w:rFonts w:hint="eastAsia" w:ascii="仿宋_GB2312" w:hAnsi="仿宋_GB2312" w:eastAsia="仿宋_GB2312" w:cs="仿宋_GB2312"/>
          <w:bCs/>
          <w:color w:val="auto"/>
          <w:kern w:val="1"/>
          <w:sz w:val="30"/>
          <w:szCs w:val="30"/>
          <w:lang w:val="en-US" w:eastAsia="zh-CN"/>
        </w:rPr>
        <w:t>询价书</w:t>
      </w:r>
      <w:r>
        <w:rPr>
          <w:rFonts w:hint="eastAsia" w:ascii="仿宋_GB2312" w:hAnsi="仿宋_GB2312" w:eastAsia="仿宋_GB2312" w:cs="仿宋_GB2312"/>
          <w:bCs/>
          <w:color w:val="auto"/>
          <w:kern w:val="1"/>
          <w:sz w:val="30"/>
          <w:szCs w:val="30"/>
        </w:rPr>
        <w:t>的各项管理要求；不发生与关联公司共同参与报价竞争情况，不发生围标、串标</w:t>
      </w:r>
      <w:r>
        <w:rPr>
          <w:rFonts w:hint="eastAsia" w:ascii="仿宋_GB2312" w:hAnsi="仿宋_GB2312" w:eastAsia="仿宋_GB2312" w:cs="仿宋_GB2312"/>
          <w:bCs/>
          <w:color w:val="auto"/>
          <w:kern w:val="1"/>
          <w:sz w:val="30"/>
          <w:szCs w:val="30"/>
          <w:lang w:eastAsia="zh-CN"/>
        </w:rPr>
        <w:t>、</w:t>
      </w:r>
      <w:r>
        <w:rPr>
          <w:rFonts w:hint="eastAsia" w:ascii="仿宋_GB2312" w:hAnsi="仿宋_GB2312" w:eastAsia="仿宋_GB2312" w:cs="仿宋_GB2312"/>
          <w:bCs/>
          <w:color w:val="auto"/>
          <w:kern w:val="1"/>
          <w:sz w:val="30"/>
          <w:szCs w:val="30"/>
          <w:lang w:val="en-US" w:eastAsia="zh-CN"/>
        </w:rPr>
        <w:t>陪标</w:t>
      </w:r>
      <w:r>
        <w:rPr>
          <w:rFonts w:hint="eastAsia" w:ascii="仿宋_GB2312" w:hAnsi="仿宋_GB2312" w:eastAsia="仿宋_GB2312" w:cs="仿宋_GB2312"/>
          <w:bCs/>
          <w:color w:val="auto"/>
          <w:kern w:val="1"/>
          <w:sz w:val="30"/>
          <w:szCs w:val="30"/>
        </w:rPr>
        <w:t>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14:paraId="58141ED9">
      <w:pPr>
        <w:spacing w:before="156" w:beforeLines="50" w:line="600" w:lineRule="exact"/>
        <w:jc w:val="left"/>
        <w:rPr>
          <w:rFonts w:hint="eastAsia" w:ascii="仿宋_GB2312" w:hAnsi="仿宋_GB2312" w:eastAsia="仿宋_GB2312" w:cs="仿宋_GB2312"/>
          <w:color w:val="auto"/>
          <w:kern w:val="1"/>
          <w:sz w:val="30"/>
          <w:szCs w:val="30"/>
        </w:rPr>
      </w:pPr>
    </w:p>
    <w:p w14:paraId="5B3EDAC1">
      <w:pPr>
        <w:spacing w:before="156" w:beforeLines="50" w:line="600" w:lineRule="exact"/>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14:paraId="4E1B4158">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14:paraId="15AD738C">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报价单位（盖章）：</w:t>
      </w:r>
    </w:p>
    <w:p w14:paraId="7250DFCB">
      <w:pPr>
        <w:spacing w:before="156" w:beforeLines="50"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rPr>
        <w:t>日期：</w:t>
      </w:r>
    </w:p>
    <w:p w14:paraId="780DCFBF">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附件1：</w:t>
      </w:r>
    </w:p>
    <w:p w14:paraId="0BD5A82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简体" w:hAnsi="方正小标宋简体" w:eastAsia="方正小标宋简体" w:cs="方正小标宋简体"/>
          <w:color w:val="auto"/>
          <w:kern w:val="0"/>
          <w:sz w:val="34"/>
          <w:szCs w:val="34"/>
          <w:u w:val="none"/>
          <w:lang w:val="en-US" w:eastAsia="zh-CN"/>
        </w:rPr>
      </w:pPr>
      <w:r>
        <w:rPr>
          <w:rFonts w:hint="eastAsia" w:ascii="方正小标宋简体" w:hAnsi="方正小标宋简体" w:eastAsia="方正小标宋简体" w:cs="方正小标宋简体"/>
          <w:color w:val="auto"/>
          <w:kern w:val="0"/>
          <w:sz w:val="34"/>
          <w:szCs w:val="34"/>
          <w:u w:val="none"/>
          <w:lang w:val="en-US" w:eastAsia="zh-CN"/>
        </w:rPr>
        <w:t xml:space="preserve"> </w:t>
      </w:r>
      <w:r>
        <w:rPr>
          <w:rFonts w:hint="eastAsia" w:ascii="方正小标宋简体" w:hAnsi="方正小标宋简体" w:eastAsia="方正小标宋简体" w:cs="方正小标宋简体"/>
          <w:color w:val="auto"/>
          <w:kern w:val="0"/>
          <w:sz w:val="44"/>
          <w:szCs w:val="44"/>
          <w:u w:val="none"/>
          <w:lang w:val="en-US" w:eastAsia="zh-CN"/>
        </w:rPr>
        <w:t>供应商管理</w:t>
      </w:r>
    </w:p>
    <w:p w14:paraId="632FA6D3">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 w:eastAsia="仿宋_GB2312"/>
          <w:color w:val="auto"/>
          <w:sz w:val="30"/>
          <w:szCs w:val="30"/>
          <w:u w:val="none"/>
          <w:lang w:val="en-US" w:eastAsia="zh-CN"/>
        </w:rPr>
      </w:pPr>
      <w:r>
        <w:rPr>
          <w:rFonts w:hint="eastAsia" w:ascii="仿宋_GB2312" w:hAnsi="仿宋" w:eastAsia="仿宋_GB2312"/>
          <w:b/>
          <w:bCs/>
          <w:color w:val="auto"/>
          <w:sz w:val="30"/>
          <w:szCs w:val="30"/>
          <w:u w:val="none"/>
          <w:lang w:val="en-US" w:eastAsia="zh-CN"/>
        </w:rPr>
        <w:t>第一条</w:t>
      </w:r>
      <w:r>
        <w:rPr>
          <w:rFonts w:hint="eastAsia" w:ascii="仿宋_GB2312" w:hAnsi="仿宋" w:eastAsia="仿宋_GB2312"/>
          <w:color w:val="auto"/>
          <w:sz w:val="30"/>
          <w:szCs w:val="30"/>
          <w:u w:val="none"/>
          <w:lang w:val="en-US" w:eastAsia="zh-CN"/>
        </w:rPr>
        <w:t xml:space="preserve"> 依照国家标准及相关准则或规定组织生产销售的原辅材料、备品备件、劳保用品、服务、施工、运输等供应商，其资质证照齐全且满足公司采购要求的，均视为合格供应商有权参与公司组织的采购商务活动。</w:t>
      </w:r>
    </w:p>
    <w:p w14:paraId="7FAC396E">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 w:eastAsia="仿宋_GB2312" w:cs="Times New Roman"/>
          <w:color w:val="auto"/>
          <w:sz w:val="30"/>
          <w:szCs w:val="30"/>
          <w:u w:val="none"/>
          <w:lang w:val="en-US" w:eastAsia="zh-CN"/>
        </w:rPr>
      </w:pPr>
      <w:r>
        <w:rPr>
          <w:rFonts w:hint="eastAsia" w:ascii="仿宋_GB2312" w:hAnsi="仿宋" w:eastAsia="仿宋_GB2312"/>
          <w:b/>
          <w:bCs/>
          <w:color w:val="auto"/>
          <w:sz w:val="30"/>
          <w:szCs w:val="30"/>
          <w:u w:val="none"/>
          <w:lang w:val="en-US" w:eastAsia="zh-CN"/>
        </w:rPr>
        <w:t>第二条</w:t>
      </w:r>
      <w:r>
        <w:rPr>
          <w:rFonts w:hint="eastAsia" w:ascii="仿宋_GB2312" w:hAnsi="仿宋" w:eastAsia="仿宋_GB2312"/>
          <w:color w:val="auto"/>
          <w:sz w:val="30"/>
          <w:szCs w:val="30"/>
          <w:u w:val="none"/>
          <w:lang w:val="en-US" w:eastAsia="zh-CN"/>
        </w:rPr>
        <w:t xml:space="preserve"> </w:t>
      </w:r>
      <w:r>
        <w:rPr>
          <w:rFonts w:hint="eastAsia" w:ascii="仿宋_GB2312" w:hAnsi="仿宋" w:eastAsia="仿宋_GB2312" w:cs="Times New Roman"/>
          <w:color w:val="auto"/>
          <w:sz w:val="30"/>
          <w:szCs w:val="30"/>
          <w:u w:val="none"/>
          <w:lang w:val="en-US" w:eastAsia="zh-CN"/>
        </w:rPr>
        <w:t>为强化供应商管理，提升供应链的整体质量和效率，实施供应商负面清单管理办法。目的在于确保采购质量与安全、维护公平竞争的市场环境、提高采购效率与效果、强化风险管理以及提升企业声誉与形象。为所有符合要求的供应商提供一个公开透明的竞争平台，有效防范供应链风险，促进供应商之间的良性竞争，推动供应链持续优化升级，为公司的持续稳定发展提供有力保障。</w:t>
      </w:r>
    </w:p>
    <w:p w14:paraId="05A8FDF6">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cs="楷体"/>
          <w:color w:val="auto"/>
          <w:sz w:val="30"/>
          <w:szCs w:val="30"/>
          <w:highlight w:val="none"/>
          <w:u w:val="none"/>
          <w:lang w:val="en-US" w:eastAsia="zh-CN"/>
        </w:rPr>
      </w:pPr>
      <w:r>
        <w:rPr>
          <w:rFonts w:hint="eastAsia" w:ascii="楷体" w:hAnsi="楷体" w:eastAsia="楷体" w:cs="楷体"/>
          <w:color w:val="auto"/>
          <w:sz w:val="30"/>
          <w:szCs w:val="30"/>
          <w:highlight w:val="none"/>
          <w:u w:val="none"/>
          <w:lang w:val="en-US" w:eastAsia="zh-CN"/>
        </w:rPr>
        <w:t>（一）管理职责</w:t>
      </w:r>
    </w:p>
    <w:p w14:paraId="2DDE0A88">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 w:eastAsia="仿宋_GB2312"/>
          <w:color w:val="auto"/>
          <w:sz w:val="30"/>
          <w:szCs w:val="30"/>
          <w:highlight w:val="yellow"/>
          <w:u w:val="none"/>
          <w:lang w:val="en-US" w:eastAsia="zh-CN"/>
        </w:rPr>
      </w:pPr>
      <w:r>
        <w:rPr>
          <w:rFonts w:hint="eastAsia" w:ascii="仿宋_GB2312" w:hAnsi="仿宋" w:eastAsia="仿宋_GB2312"/>
          <w:color w:val="auto"/>
          <w:sz w:val="30"/>
          <w:szCs w:val="30"/>
          <w:highlight w:val="none"/>
          <w:u w:val="none"/>
          <w:lang w:val="en-US" w:eastAsia="zh-CN"/>
        </w:rPr>
        <w:t>供应商负面清单管理由供应保障部负责，其他职能部门在</w:t>
      </w:r>
      <w:r>
        <w:rPr>
          <w:rFonts w:hint="eastAsia" w:ascii="仿宋_GB2312" w:hAnsi="仿宋" w:eastAsia="仿宋_GB2312"/>
          <w:strike w:val="0"/>
          <w:dstrike w:val="0"/>
          <w:color w:val="auto"/>
          <w:sz w:val="30"/>
          <w:szCs w:val="30"/>
          <w:highlight w:val="none"/>
          <w:u w:val="none"/>
          <w:lang w:val="en-US" w:eastAsia="zh-CN"/>
        </w:rPr>
        <w:t>采购</w:t>
      </w:r>
      <w:r>
        <w:rPr>
          <w:rFonts w:hint="eastAsia" w:ascii="仿宋_GB2312" w:hAnsi="仿宋" w:eastAsia="仿宋_GB2312"/>
          <w:color w:val="auto"/>
          <w:sz w:val="30"/>
          <w:szCs w:val="30"/>
          <w:highlight w:val="none"/>
          <w:u w:val="none"/>
          <w:lang w:val="en-US" w:eastAsia="zh-CN"/>
        </w:rPr>
        <w:t>、合同、使用等过程中产生的供应商考核意见应报送供应保障部进行统一管理。</w:t>
      </w:r>
    </w:p>
    <w:p w14:paraId="3C6377A8">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cs="楷体"/>
          <w:bCs/>
          <w:color w:val="auto"/>
          <w:sz w:val="30"/>
          <w:szCs w:val="30"/>
          <w:u w:val="none"/>
          <w:lang w:eastAsia="zh-CN"/>
        </w:rPr>
      </w:pPr>
      <w:r>
        <w:rPr>
          <w:rFonts w:hint="eastAsia" w:ascii="楷体" w:hAnsi="楷体" w:eastAsia="楷体" w:cs="楷体"/>
          <w:bCs/>
          <w:color w:val="auto"/>
          <w:sz w:val="30"/>
          <w:szCs w:val="30"/>
          <w:u w:val="none"/>
          <w:lang w:eastAsia="zh-CN"/>
        </w:rPr>
        <w:t>（</w:t>
      </w:r>
      <w:r>
        <w:rPr>
          <w:rFonts w:hint="eastAsia" w:ascii="楷体" w:hAnsi="楷体" w:eastAsia="楷体" w:cs="楷体"/>
          <w:bCs/>
          <w:color w:val="auto"/>
          <w:sz w:val="30"/>
          <w:szCs w:val="30"/>
          <w:u w:val="none"/>
          <w:lang w:val="en-US" w:eastAsia="zh-CN"/>
        </w:rPr>
        <w:t>二</w:t>
      </w:r>
      <w:r>
        <w:rPr>
          <w:rFonts w:hint="eastAsia" w:ascii="楷体" w:hAnsi="楷体" w:eastAsia="楷体" w:cs="楷体"/>
          <w:bCs/>
          <w:color w:val="auto"/>
          <w:sz w:val="30"/>
          <w:szCs w:val="30"/>
          <w:u w:val="none"/>
          <w:lang w:eastAsia="zh-CN"/>
        </w:rPr>
        <w:t>）供应商积分考核</w:t>
      </w:r>
    </w:p>
    <w:p w14:paraId="116F4057">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yellow"/>
          <w:u w:val="none"/>
          <w:lang w:eastAsia="zh-CN"/>
        </w:rPr>
      </w:pPr>
      <w:r>
        <w:rPr>
          <w:rFonts w:hint="eastAsia" w:ascii="仿宋_GB2312" w:hAnsi="仿宋_GB2312" w:eastAsia="仿宋_GB2312" w:cs="仿宋_GB2312"/>
          <w:bCs/>
          <w:color w:val="auto"/>
          <w:sz w:val="30"/>
          <w:szCs w:val="30"/>
          <w:u w:val="none"/>
          <w:lang w:eastAsia="zh-CN"/>
        </w:rPr>
        <w:t>供应商的积分考核围绕供货质量、交货周期、售后服务以及资质信誉</w:t>
      </w:r>
      <w:r>
        <w:rPr>
          <w:rFonts w:hint="eastAsia" w:ascii="仿宋_GB2312" w:hAnsi="仿宋_GB2312" w:eastAsia="仿宋_GB2312" w:cs="仿宋_GB2312"/>
          <w:bCs/>
          <w:color w:val="auto"/>
          <w:sz w:val="30"/>
          <w:szCs w:val="30"/>
          <w:u w:val="none"/>
          <w:lang w:val="en-US" w:eastAsia="zh-CN"/>
        </w:rPr>
        <w:t>四个方面实施</w:t>
      </w:r>
      <w:r>
        <w:rPr>
          <w:rFonts w:hint="eastAsia" w:ascii="仿宋_GB2312" w:hAnsi="仿宋_GB2312" w:eastAsia="仿宋_GB2312" w:cs="仿宋_GB2312"/>
          <w:bCs/>
          <w:color w:val="auto"/>
          <w:sz w:val="30"/>
          <w:szCs w:val="30"/>
          <w:u w:val="none"/>
          <w:lang w:eastAsia="zh-CN"/>
        </w:rPr>
        <w:t>。根据考核结果对供应商进行积分累计，并采取相应的处理措施。使用部门和供应保障部均有</w:t>
      </w:r>
      <w:r>
        <w:rPr>
          <w:rFonts w:hint="eastAsia" w:ascii="仿宋_GB2312" w:hAnsi="仿宋_GB2312" w:eastAsia="仿宋_GB2312" w:cs="仿宋_GB2312"/>
          <w:bCs/>
          <w:color w:val="auto"/>
          <w:sz w:val="30"/>
          <w:szCs w:val="30"/>
          <w:u w:val="none"/>
          <w:lang w:val="en-US" w:eastAsia="zh-CN"/>
        </w:rPr>
        <w:t>以</w:t>
      </w:r>
      <w:r>
        <w:rPr>
          <w:rFonts w:hint="eastAsia" w:ascii="仿宋_GB2312" w:hAnsi="仿宋_GB2312" w:eastAsia="仿宋_GB2312" w:cs="仿宋_GB2312"/>
          <w:bCs/>
          <w:color w:val="auto"/>
          <w:sz w:val="30"/>
          <w:szCs w:val="30"/>
          <w:u w:val="none"/>
          <w:lang w:eastAsia="zh-CN"/>
        </w:rPr>
        <w:t>权书面形式提出考核意见。供应保障部</w:t>
      </w:r>
      <w:r>
        <w:rPr>
          <w:rFonts w:hint="eastAsia" w:ascii="仿宋_GB2312" w:hAnsi="仿宋_GB2312" w:eastAsia="仿宋_GB2312" w:cs="仿宋_GB2312"/>
          <w:bCs/>
          <w:color w:val="auto"/>
          <w:sz w:val="30"/>
          <w:szCs w:val="30"/>
          <w:u w:val="none"/>
          <w:lang w:val="en-US" w:eastAsia="zh-CN"/>
        </w:rPr>
        <w:t>负责</w:t>
      </w:r>
      <w:r>
        <w:rPr>
          <w:rFonts w:hint="eastAsia" w:ascii="仿宋_GB2312" w:hAnsi="仿宋_GB2312" w:eastAsia="仿宋_GB2312" w:cs="仿宋_GB2312"/>
          <w:bCs/>
          <w:color w:val="auto"/>
          <w:sz w:val="30"/>
          <w:szCs w:val="30"/>
          <w:u w:val="none"/>
          <w:lang w:eastAsia="zh-CN"/>
        </w:rPr>
        <w:t>组织参与评审部门，对供应商进行</w:t>
      </w:r>
      <w:r>
        <w:rPr>
          <w:rFonts w:hint="eastAsia" w:ascii="仿宋_GB2312" w:hAnsi="仿宋_GB2312" w:eastAsia="仿宋_GB2312" w:cs="仿宋_GB2312"/>
          <w:bCs/>
          <w:color w:val="auto"/>
          <w:sz w:val="30"/>
          <w:szCs w:val="30"/>
          <w:u w:val="none"/>
          <w:lang w:val="en-US" w:eastAsia="zh-CN"/>
        </w:rPr>
        <w:t>积分</w:t>
      </w:r>
      <w:r>
        <w:rPr>
          <w:rFonts w:hint="eastAsia" w:ascii="仿宋_GB2312" w:hAnsi="仿宋_GB2312" w:eastAsia="仿宋_GB2312" w:cs="仿宋_GB2312"/>
          <w:bCs/>
          <w:color w:val="auto"/>
          <w:sz w:val="30"/>
          <w:szCs w:val="30"/>
          <w:u w:val="none"/>
          <w:lang w:eastAsia="zh-CN"/>
        </w:rPr>
        <w:t>考核，并建立</w:t>
      </w:r>
      <w:r>
        <w:rPr>
          <w:rFonts w:hint="eastAsia" w:ascii="仿宋_GB2312" w:hAnsi="仿宋_GB2312" w:eastAsia="仿宋_GB2312" w:cs="仿宋_GB2312"/>
          <w:bCs/>
          <w:color w:val="auto"/>
          <w:sz w:val="30"/>
          <w:szCs w:val="30"/>
          <w:highlight w:val="none"/>
          <w:u w:val="none"/>
          <w:lang w:eastAsia="zh-CN"/>
        </w:rPr>
        <w:t>《供应商考核情况登记表》。</w:t>
      </w:r>
    </w:p>
    <w:p w14:paraId="4E0C44D8">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u w:val="none"/>
          <w:lang w:eastAsia="zh-CN"/>
        </w:rPr>
      </w:pPr>
      <w:r>
        <w:rPr>
          <w:rFonts w:hint="eastAsia" w:ascii="仿宋_GB2312" w:hAnsi="仿宋_GB2312" w:eastAsia="仿宋_GB2312" w:cs="仿宋_GB2312"/>
          <w:bCs/>
          <w:color w:val="auto"/>
          <w:sz w:val="30"/>
          <w:szCs w:val="30"/>
          <w:u w:val="none"/>
          <w:lang w:eastAsia="zh-CN"/>
        </w:rPr>
        <w:t>根据扣分情况</w:t>
      </w:r>
      <w:r>
        <w:rPr>
          <w:rFonts w:hint="eastAsia" w:ascii="仿宋_GB2312" w:hAnsi="仿宋_GB2312" w:eastAsia="仿宋_GB2312" w:cs="仿宋_GB2312"/>
          <w:bCs/>
          <w:color w:val="auto"/>
          <w:sz w:val="30"/>
          <w:szCs w:val="30"/>
          <w:u w:val="none"/>
          <w:lang w:val="en-US" w:eastAsia="zh-CN"/>
        </w:rPr>
        <w:t>被考核</w:t>
      </w:r>
      <w:r>
        <w:rPr>
          <w:rFonts w:hint="eastAsia" w:ascii="仿宋_GB2312" w:hAnsi="仿宋_GB2312" w:eastAsia="仿宋_GB2312" w:cs="仿宋_GB2312"/>
          <w:bCs/>
          <w:color w:val="auto"/>
          <w:sz w:val="30"/>
          <w:szCs w:val="30"/>
          <w:u w:val="none"/>
          <w:lang w:eastAsia="zh-CN"/>
        </w:rPr>
        <w:t>供应商</w:t>
      </w:r>
      <w:r>
        <w:rPr>
          <w:rFonts w:hint="eastAsia" w:ascii="仿宋_GB2312" w:hAnsi="仿宋_GB2312" w:eastAsia="仿宋_GB2312" w:cs="仿宋_GB2312"/>
          <w:bCs/>
          <w:color w:val="auto"/>
          <w:sz w:val="30"/>
          <w:szCs w:val="30"/>
          <w:u w:val="none"/>
          <w:lang w:val="en-US" w:eastAsia="zh-CN"/>
        </w:rPr>
        <w:t>可</w:t>
      </w:r>
      <w:r>
        <w:rPr>
          <w:rFonts w:hint="eastAsia" w:ascii="仿宋_GB2312" w:hAnsi="仿宋_GB2312" w:eastAsia="仿宋_GB2312" w:cs="仿宋_GB2312"/>
          <w:bCs/>
          <w:color w:val="auto"/>
          <w:sz w:val="30"/>
          <w:szCs w:val="30"/>
          <w:u w:val="none"/>
          <w:lang w:eastAsia="zh-CN"/>
        </w:rPr>
        <w:t>分为两类：继续合作供应商和列入负面清单供应商。考核记分周期为</w:t>
      </w:r>
      <w:r>
        <w:rPr>
          <w:rFonts w:hint="eastAsia" w:ascii="仿宋_GB2312" w:hAnsi="仿宋_GB2312" w:eastAsia="仿宋_GB2312" w:cs="仿宋_GB2312"/>
          <w:bCs/>
          <w:color w:val="auto"/>
          <w:sz w:val="30"/>
          <w:szCs w:val="30"/>
          <w:u w:val="none"/>
          <w:lang w:val="en-US" w:eastAsia="zh-CN"/>
        </w:rPr>
        <w:t>1</w:t>
      </w:r>
      <w:r>
        <w:rPr>
          <w:rFonts w:hint="eastAsia" w:ascii="仿宋_GB2312" w:hAnsi="仿宋_GB2312" w:eastAsia="仿宋_GB2312" w:cs="仿宋_GB2312"/>
          <w:bCs/>
          <w:color w:val="auto"/>
          <w:sz w:val="30"/>
          <w:szCs w:val="30"/>
          <w:u w:val="none"/>
          <w:lang w:eastAsia="zh-CN"/>
        </w:rPr>
        <w:t>年，自首次考核当日起算，</w:t>
      </w:r>
      <w:r>
        <w:rPr>
          <w:rFonts w:hint="eastAsia" w:ascii="仿宋_GB2312" w:hAnsi="仿宋_GB2312" w:eastAsia="仿宋_GB2312" w:cs="仿宋_GB2312"/>
          <w:bCs/>
          <w:color w:val="auto"/>
          <w:sz w:val="30"/>
          <w:szCs w:val="30"/>
          <w:u w:val="none"/>
          <w:lang w:val="en-US" w:eastAsia="zh-CN"/>
        </w:rPr>
        <w:t>未列入</w:t>
      </w:r>
      <w:r>
        <w:rPr>
          <w:rFonts w:hint="eastAsia" w:ascii="仿宋_GB2312" w:hAnsi="仿宋_GB2312" w:eastAsia="仿宋_GB2312" w:cs="仿宋_GB2312"/>
          <w:bCs/>
          <w:color w:val="auto"/>
          <w:sz w:val="30"/>
          <w:szCs w:val="30"/>
          <w:u w:val="none"/>
          <w:lang w:eastAsia="zh-CN"/>
        </w:rPr>
        <w:t>负面清单供应商满</w:t>
      </w:r>
      <w:r>
        <w:rPr>
          <w:rFonts w:hint="eastAsia" w:ascii="仿宋_GB2312" w:hAnsi="仿宋_GB2312" w:eastAsia="仿宋_GB2312" w:cs="仿宋_GB2312"/>
          <w:bCs/>
          <w:color w:val="auto"/>
          <w:sz w:val="30"/>
          <w:szCs w:val="30"/>
          <w:u w:val="none"/>
          <w:lang w:val="en-US" w:eastAsia="zh-CN"/>
        </w:rPr>
        <w:t>1</w:t>
      </w:r>
      <w:r>
        <w:rPr>
          <w:rFonts w:hint="eastAsia" w:ascii="仿宋_GB2312" w:hAnsi="仿宋_GB2312" w:eastAsia="仿宋_GB2312" w:cs="仿宋_GB2312"/>
          <w:bCs/>
          <w:color w:val="auto"/>
          <w:sz w:val="30"/>
          <w:szCs w:val="30"/>
          <w:u w:val="none"/>
          <w:lang w:eastAsia="zh-CN"/>
        </w:rPr>
        <w:t>年后，考核期内的积分自动清零。</w:t>
      </w:r>
    </w:p>
    <w:p w14:paraId="0B291DD3">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u w:val="none"/>
          <w:lang w:eastAsia="zh-CN"/>
        </w:rPr>
      </w:pPr>
      <w:r>
        <w:rPr>
          <w:rFonts w:hint="eastAsia" w:ascii="仿宋_GB2312" w:hAnsi="仿宋_GB2312" w:eastAsia="仿宋_GB2312" w:cs="仿宋_GB2312"/>
          <w:bCs/>
          <w:color w:val="auto"/>
          <w:sz w:val="30"/>
          <w:szCs w:val="30"/>
          <w:u w:val="none"/>
          <w:lang w:eastAsia="zh-CN"/>
        </w:rPr>
        <w:t>1.继续合作供应商：考核记分周期</w:t>
      </w:r>
      <w:r>
        <w:rPr>
          <w:rFonts w:hint="eastAsia" w:ascii="仿宋_GB2312" w:hAnsi="仿宋_GB2312" w:eastAsia="仿宋_GB2312" w:cs="仿宋_GB2312"/>
          <w:bCs/>
          <w:color w:val="auto"/>
          <w:sz w:val="30"/>
          <w:szCs w:val="30"/>
          <w:u w:val="none"/>
          <w:lang w:val="en-US" w:eastAsia="zh-CN"/>
        </w:rPr>
        <w:t>内</w:t>
      </w:r>
      <w:r>
        <w:rPr>
          <w:rFonts w:hint="eastAsia" w:ascii="仿宋_GB2312" w:hAnsi="仿宋_GB2312" w:eastAsia="仿宋_GB2312" w:cs="仿宋_GB2312"/>
          <w:bCs/>
          <w:color w:val="auto"/>
          <w:sz w:val="30"/>
          <w:szCs w:val="30"/>
          <w:u w:val="none"/>
          <w:lang w:eastAsia="zh-CN"/>
        </w:rPr>
        <w:t>扣分在0～9分的供应商。</w:t>
      </w:r>
    </w:p>
    <w:p w14:paraId="7B555660">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2.列入负面清单供应商：</w:t>
      </w:r>
    </w:p>
    <w:p w14:paraId="7910389C">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1</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u w:val="none"/>
          <w:lang w:eastAsia="zh-CN"/>
        </w:rPr>
        <w:t>考核记分周期</w:t>
      </w:r>
      <w:r>
        <w:rPr>
          <w:rFonts w:hint="eastAsia" w:ascii="仿宋_GB2312" w:hAnsi="仿宋_GB2312" w:eastAsia="仿宋_GB2312" w:cs="仿宋_GB2312"/>
          <w:bCs/>
          <w:color w:val="auto"/>
          <w:sz w:val="30"/>
          <w:szCs w:val="30"/>
          <w:u w:val="none"/>
          <w:lang w:val="en-US" w:eastAsia="zh-CN"/>
        </w:rPr>
        <w:t>内</w:t>
      </w:r>
      <w:r>
        <w:rPr>
          <w:rFonts w:hint="eastAsia" w:ascii="仿宋_GB2312" w:hAnsi="仿宋_GB2312" w:eastAsia="仿宋_GB2312" w:cs="仿宋_GB2312"/>
          <w:bCs/>
          <w:color w:val="auto"/>
          <w:sz w:val="30"/>
          <w:szCs w:val="30"/>
          <w:highlight w:val="none"/>
          <w:u w:val="none"/>
          <w:lang w:eastAsia="zh-CN"/>
        </w:rPr>
        <w:t>扣分达到10分</w:t>
      </w:r>
      <w:r>
        <w:rPr>
          <w:rFonts w:hint="eastAsia" w:ascii="仿宋_GB2312" w:hAnsi="仿宋_GB2312" w:eastAsia="仿宋_GB2312" w:cs="仿宋_GB2312"/>
          <w:bCs/>
          <w:color w:val="auto"/>
          <w:sz w:val="30"/>
          <w:szCs w:val="30"/>
          <w:highlight w:val="none"/>
          <w:u w:val="none"/>
          <w:lang w:val="en-US" w:eastAsia="zh-CN"/>
        </w:rPr>
        <w:t>及以上</w:t>
      </w:r>
      <w:r>
        <w:rPr>
          <w:rFonts w:hint="eastAsia" w:ascii="仿宋_GB2312" w:hAnsi="仿宋_GB2312" w:eastAsia="仿宋_GB2312" w:cs="仿宋_GB2312"/>
          <w:bCs/>
          <w:color w:val="auto"/>
          <w:sz w:val="30"/>
          <w:szCs w:val="30"/>
          <w:highlight w:val="none"/>
          <w:u w:val="none"/>
          <w:lang w:eastAsia="zh-CN"/>
        </w:rPr>
        <w:t>的供应商；</w:t>
      </w:r>
    </w:p>
    <w:p w14:paraId="4AD1163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lang w:eastAsia="zh-CN"/>
        </w:rPr>
      </w:pP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u w:val="none"/>
          <w:lang w:eastAsia="zh-CN"/>
        </w:rPr>
        <w:t>考核记分周期</w:t>
      </w:r>
      <w:r>
        <w:rPr>
          <w:rFonts w:hint="eastAsia" w:ascii="仿宋_GB2312" w:hAnsi="仿宋_GB2312" w:eastAsia="仿宋_GB2312" w:cs="仿宋_GB2312"/>
          <w:bCs/>
          <w:color w:val="auto"/>
          <w:sz w:val="30"/>
          <w:szCs w:val="30"/>
          <w:u w:val="none"/>
          <w:lang w:val="en-US" w:eastAsia="zh-CN"/>
        </w:rPr>
        <w:t>内</w:t>
      </w:r>
      <w:r>
        <w:rPr>
          <w:rFonts w:hint="eastAsia" w:ascii="仿宋_GB2312" w:hAnsi="仿宋_GB2312" w:eastAsia="仿宋_GB2312" w:cs="仿宋_GB2312"/>
          <w:bCs/>
          <w:color w:val="auto"/>
          <w:sz w:val="30"/>
          <w:szCs w:val="30"/>
          <w:highlight w:val="none"/>
          <w:u w:val="none"/>
          <w:lang w:val="en-US" w:eastAsia="zh-CN"/>
        </w:rPr>
        <w:t>被索普集团汇总累计扣分列入负面清单的供应商</w:t>
      </w:r>
      <w:r>
        <w:rPr>
          <w:rFonts w:hint="eastAsia" w:ascii="仿宋_GB2312" w:hAnsi="仿宋_GB2312" w:eastAsia="仿宋_GB2312" w:cs="仿宋_GB2312"/>
          <w:bCs/>
          <w:color w:val="auto"/>
          <w:sz w:val="30"/>
          <w:szCs w:val="30"/>
          <w:highlight w:val="none"/>
          <w:u w:val="none"/>
          <w:lang w:eastAsia="zh-CN"/>
        </w:rPr>
        <w:t>。</w:t>
      </w:r>
    </w:p>
    <w:p w14:paraId="46B87711">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yellow"/>
          <w:u w:val="none"/>
          <w:lang w:eastAsia="zh-CN"/>
        </w:rPr>
      </w:pPr>
      <w:r>
        <w:rPr>
          <w:rFonts w:hint="eastAsia" w:ascii="仿宋_GB2312" w:hAnsi="仿宋_GB2312" w:eastAsia="仿宋_GB2312" w:cs="仿宋_GB2312"/>
          <w:bCs/>
          <w:color w:val="auto"/>
          <w:sz w:val="30"/>
          <w:szCs w:val="30"/>
          <w:highlight w:val="none"/>
          <w:u w:val="none"/>
          <w:lang w:eastAsia="zh-CN"/>
        </w:rPr>
        <w:t>列入负面清单供应商不再接受其</w:t>
      </w:r>
      <w:r>
        <w:rPr>
          <w:rFonts w:hint="eastAsia" w:ascii="仿宋_GB2312" w:hAnsi="仿宋_GB2312" w:eastAsia="仿宋_GB2312" w:cs="仿宋_GB2312"/>
          <w:bCs/>
          <w:color w:val="auto"/>
          <w:sz w:val="30"/>
          <w:szCs w:val="30"/>
          <w:highlight w:val="none"/>
          <w:u w:val="none"/>
          <w:lang w:val="en-US" w:eastAsia="zh-CN"/>
        </w:rPr>
        <w:t>参与</w:t>
      </w:r>
      <w:r>
        <w:rPr>
          <w:rFonts w:hint="eastAsia" w:ascii="仿宋_GB2312" w:hAnsi="仿宋" w:eastAsia="仿宋_GB2312"/>
          <w:color w:val="auto"/>
          <w:sz w:val="30"/>
          <w:szCs w:val="30"/>
          <w:u w:val="none"/>
          <w:lang w:val="en-US" w:eastAsia="zh-CN"/>
        </w:rPr>
        <w:t>采购商务活动。</w:t>
      </w:r>
    </w:p>
    <w:p w14:paraId="3AB6E482">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楷体" w:hAnsi="楷体" w:eastAsia="楷体"/>
          <w:bCs/>
          <w:color w:val="auto"/>
          <w:sz w:val="30"/>
          <w:szCs w:val="30"/>
          <w:u w:val="none"/>
          <w:lang w:eastAsia="zh-CN"/>
        </w:rPr>
      </w:pPr>
      <w:r>
        <w:rPr>
          <w:rFonts w:hint="eastAsia" w:ascii="楷体" w:hAnsi="楷体" w:eastAsia="楷体"/>
          <w:bCs/>
          <w:color w:val="auto"/>
          <w:sz w:val="30"/>
          <w:szCs w:val="30"/>
          <w:u w:val="none"/>
        </w:rPr>
        <w:t>（</w:t>
      </w:r>
      <w:r>
        <w:rPr>
          <w:rFonts w:hint="eastAsia" w:ascii="楷体" w:hAnsi="楷体" w:eastAsia="楷体"/>
          <w:bCs/>
          <w:color w:val="auto"/>
          <w:sz w:val="30"/>
          <w:szCs w:val="30"/>
          <w:u w:val="none"/>
          <w:lang w:val="en-US" w:eastAsia="zh-CN"/>
        </w:rPr>
        <w:t>三</w:t>
      </w:r>
      <w:r>
        <w:rPr>
          <w:rFonts w:hint="eastAsia" w:ascii="楷体" w:hAnsi="楷体" w:eastAsia="楷体"/>
          <w:bCs/>
          <w:color w:val="auto"/>
          <w:sz w:val="30"/>
          <w:szCs w:val="30"/>
          <w:u w:val="none"/>
        </w:rPr>
        <w:t>）</w:t>
      </w:r>
      <w:r>
        <w:rPr>
          <w:rFonts w:hint="eastAsia" w:ascii="楷体" w:hAnsi="楷体" w:eastAsia="楷体"/>
          <w:bCs/>
          <w:color w:val="auto"/>
          <w:sz w:val="30"/>
          <w:szCs w:val="30"/>
          <w:u w:val="none"/>
          <w:lang w:val="en-US" w:eastAsia="zh-CN"/>
        </w:rPr>
        <w:t>积分</w:t>
      </w:r>
      <w:r>
        <w:rPr>
          <w:rFonts w:hint="eastAsia" w:ascii="楷体" w:hAnsi="楷体" w:eastAsia="楷体"/>
          <w:bCs/>
          <w:color w:val="auto"/>
          <w:sz w:val="30"/>
          <w:szCs w:val="30"/>
          <w:u w:val="none"/>
        </w:rPr>
        <w:t>考核</w:t>
      </w:r>
      <w:r>
        <w:rPr>
          <w:rFonts w:hint="eastAsia" w:ascii="楷体" w:hAnsi="楷体" w:eastAsia="楷体"/>
          <w:bCs/>
          <w:color w:val="auto"/>
          <w:sz w:val="30"/>
          <w:szCs w:val="30"/>
          <w:u w:val="none"/>
          <w:lang w:val="en-US" w:eastAsia="zh-CN"/>
        </w:rPr>
        <w:t>细则</w:t>
      </w:r>
    </w:p>
    <w:p w14:paraId="4AAA4B5E">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1.质量方面</w:t>
      </w:r>
    </w:p>
    <w:p w14:paraId="413CE727">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（1）所供产品出现质量问题，未对生产造成影响，扣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4D7CBB8A">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（2）所供产品出现质量问题</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产品质量等影响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69B45B92">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）所供产品</w:t>
      </w:r>
      <w:r>
        <w:rPr>
          <w:rFonts w:hint="eastAsia" w:ascii="仿宋_GB2312" w:hAnsi="仿宋_GB2312" w:eastAsia="仿宋_GB2312" w:cs="仿宋_GB2312"/>
          <w:bCs/>
          <w:color w:val="auto"/>
          <w:sz w:val="30"/>
          <w:szCs w:val="30"/>
          <w:highlight w:val="none"/>
          <w:u w:val="none"/>
          <w:lang w:val="en-US" w:eastAsia="zh-CN"/>
        </w:rPr>
        <w:t>故意</w:t>
      </w:r>
      <w:r>
        <w:rPr>
          <w:rFonts w:hint="eastAsia" w:ascii="仿宋_GB2312" w:hAnsi="仿宋_GB2312" w:eastAsia="仿宋_GB2312" w:cs="仿宋_GB2312"/>
          <w:bCs/>
          <w:color w:val="auto"/>
          <w:sz w:val="30"/>
          <w:szCs w:val="30"/>
          <w:highlight w:val="none"/>
          <w:u w:val="none"/>
        </w:rPr>
        <w:t>隐瞒质量缺陷或以次充好，扣10分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7791E946">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2.交货方面</w:t>
      </w:r>
    </w:p>
    <w:p w14:paraId="7541AB3D">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（1）交货时</w:t>
      </w:r>
      <w:r>
        <w:rPr>
          <w:rFonts w:hint="eastAsia" w:ascii="仿宋_GB2312" w:hAnsi="仿宋_GB2312" w:eastAsia="仿宋_GB2312" w:cs="仿宋_GB2312"/>
          <w:bCs/>
          <w:color w:val="auto"/>
          <w:sz w:val="30"/>
          <w:szCs w:val="30"/>
          <w:highlight w:val="none"/>
          <w:u w:val="none"/>
          <w:lang w:val="en-US" w:eastAsia="zh-CN"/>
        </w:rPr>
        <w:t>未及时提供</w:t>
      </w:r>
      <w:r>
        <w:rPr>
          <w:rFonts w:hint="eastAsia" w:ascii="仿宋_GB2312" w:hAnsi="仿宋_GB2312" w:eastAsia="仿宋_GB2312" w:cs="仿宋_GB2312"/>
          <w:bCs/>
          <w:color w:val="auto"/>
          <w:sz w:val="30"/>
          <w:szCs w:val="30"/>
          <w:highlight w:val="none"/>
          <w:u w:val="none"/>
        </w:rPr>
        <w:t>质检报告或合格证等必要</w:t>
      </w:r>
      <w:r>
        <w:rPr>
          <w:rFonts w:hint="eastAsia" w:ascii="仿宋_GB2312" w:hAnsi="仿宋_GB2312" w:eastAsia="仿宋_GB2312" w:cs="仿宋_GB2312"/>
          <w:bCs/>
          <w:color w:val="auto"/>
          <w:sz w:val="30"/>
          <w:szCs w:val="30"/>
          <w:highlight w:val="none"/>
          <w:u w:val="none"/>
          <w:lang w:val="en-US" w:eastAsia="zh-CN"/>
        </w:rPr>
        <w:t>随货</w:t>
      </w:r>
      <w:r>
        <w:rPr>
          <w:rFonts w:hint="eastAsia" w:ascii="仿宋_GB2312" w:hAnsi="仿宋_GB2312" w:eastAsia="仿宋_GB2312" w:cs="仿宋_GB2312"/>
          <w:bCs/>
          <w:color w:val="auto"/>
          <w:sz w:val="30"/>
          <w:szCs w:val="30"/>
          <w:highlight w:val="none"/>
          <w:u w:val="none"/>
        </w:rPr>
        <w:t>资料，扣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48C317A0">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（2）交货时未</w:t>
      </w:r>
      <w:r>
        <w:rPr>
          <w:rFonts w:hint="eastAsia" w:ascii="仿宋_GB2312" w:hAnsi="仿宋_GB2312" w:eastAsia="仿宋_GB2312" w:cs="仿宋_GB2312"/>
          <w:bCs/>
          <w:color w:val="auto"/>
          <w:sz w:val="30"/>
          <w:szCs w:val="30"/>
          <w:highlight w:val="none"/>
          <w:u w:val="none"/>
          <w:lang w:val="en-US" w:eastAsia="zh-CN"/>
        </w:rPr>
        <w:t>按国家标准对货物提供有效出厂防护包装</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7E3D979B">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（3）交货延期</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造成</w:t>
      </w:r>
      <w:r>
        <w:rPr>
          <w:rFonts w:hint="eastAsia" w:ascii="仿宋_GB2312" w:hAnsi="仿宋_GB2312" w:eastAsia="仿宋_GB2312" w:cs="仿宋_GB2312"/>
          <w:bCs/>
          <w:color w:val="auto"/>
          <w:sz w:val="30"/>
          <w:szCs w:val="30"/>
          <w:highlight w:val="none"/>
          <w:u w:val="none"/>
          <w:lang w:val="en-US" w:eastAsia="zh-CN"/>
        </w:rPr>
        <w:t>任何</w:t>
      </w:r>
      <w:r>
        <w:rPr>
          <w:rFonts w:hint="eastAsia" w:ascii="仿宋_GB2312" w:hAnsi="仿宋_GB2312" w:eastAsia="仿宋_GB2312" w:cs="仿宋_GB2312"/>
          <w:bCs/>
          <w:color w:val="auto"/>
          <w:sz w:val="30"/>
          <w:szCs w:val="30"/>
          <w:highlight w:val="none"/>
          <w:u w:val="none"/>
        </w:rPr>
        <w:t>影响，扣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val="en-US" w:eastAsia="zh-CN"/>
        </w:rPr>
        <w:t>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6C78CC65">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rPr>
      </w:pPr>
      <w:r>
        <w:rPr>
          <w:rFonts w:hint="eastAsia" w:ascii="仿宋_GB2312" w:hAnsi="仿宋_GB2312" w:eastAsia="仿宋_GB2312" w:cs="仿宋_GB2312"/>
          <w:b/>
          <w:color w:val="auto"/>
          <w:sz w:val="30"/>
          <w:szCs w:val="30"/>
          <w:highlight w:val="none"/>
          <w:u w:val="none"/>
        </w:rPr>
        <w:t>3.售后方面</w:t>
      </w:r>
    </w:p>
    <w:p w14:paraId="7EC6EA1B">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（1）售后服务要求</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及时响应，</w:t>
      </w:r>
      <w:r>
        <w:rPr>
          <w:rFonts w:hint="eastAsia" w:ascii="仿宋_GB2312" w:hAnsi="仿宋_GB2312" w:eastAsia="仿宋_GB2312" w:cs="仿宋_GB2312"/>
          <w:bCs/>
          <w:color w:val="auto"/>
          <w:sz w:val="30"/>
          <w:szCs w:val="30"/>
          <w:highlight w:val="none"/>
          <w:u w:val="none"/>
          <w:lang w:val="en-US" w:eastAsia="zh-CN"/>
        </w:rPr>
        <w:t>扣1～3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；对生产造成减产</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rPr>
        <w:t>停车</w:t>
      </w:r>
      <w:r>
        <w:rPr>
          <w:rFonts w:hint="eastAsia" w:ascii="仿宋_GB2312" w:hAnsi="仿宋_GB2312" w:eastAsia="仿宋_GB2312" w:cs="仿宋_GB2312"/>
          <w:bCs/>
          <w:color w:val="auto"/>
          <w:sz w:val="30"/>
          <w:szCs w:val="30"/>
          <w:highlight w:val="none"/>
          <w:u w:val="none"/>
          <w:lang w:eastAsia="zh-CN"/>
        </w:rPr>
        <w:t>、</w:t>
      </w:r>
      <w:r>
        <w:rPr>
          <w:rFonts w:hint="eastAsia" w:ascii="仿宋_GB2312" w:hAnsi="仿宋_GB2312" w:eastAsia="仿宋_GB2312" w:cs="仿宋_GB2312"/>
          <w:bCs/>
          <w:color w:val="auto"/>
          <w:sz w:val="30"/>
          <w:szCs w:val="30"/>
          <w:highlight w:val="none"/>
          <w:u w:val="none"/>
          <w:lang w:val="en-US" w:eastAsia="zh-CN"/>
        </w:rPr>
        <w:t>产品质量等影响</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91F1821">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rPr>
        <w:t>）售后人员</w:t>
      </w:r>
      <w:r>
        <w:rPr>
          <w:rFonts w:hint="eastAsia" w:ascii="仿宋_GB2312" w:hAnsi="仿宋_GB2312" w:eastAsia="仿宋_GB2312" w:cs="仿宋_GB2312"/>
          <w:bCs/>
          <w:color w:val="auto"/>
          <w:sz w:val="30"/>
          <w:szCs w:val="30"/>
          <w:highlight w:val="none"/>
          <w:u w:val="none"/>
          <w:lang w:val="en-US" w:eastAsia="zh-CN"/>
        </w:rPr>
        <w:t>未</w:t>
      </w:r>
      <w:r>
        <w:rPr>
          <w:rFonts w:hint="eastAsia" w:ascii="仿宋_GB2312" w:hAnsi="仿宋_GB2312" w:eastAsia="仿宋_GB2312" w:cs="仿宋_GB2312"/>
          <w:bCs/>
          <w:color w:val="auto"/>
          <w:sz w:val="30"/>
          <w:szCs w:val="30"/>
          <w:highlight w:val="none"/>
          <w:u w:val="none"/>
        </w:rPr>
        <w:t>及时解决问题，</w:t>
      </w:r>
      <w:r>
        <w:rPr>
          <w:rFonts w:hint="eastAsia" w:ascii="仿宋_GB2312" w:hAnsi="仿宋_GB2312" w:eastAsia="仿宋_GB2312" w:cs="仿宋_GB2312"/>
          <w:bCs/>
          <w:color w:val="auto"/>
          <w:sz w:val="30"/>
          <w:szCs w:val="30"/>
          <w:highlight w:val="none"/>
          <w:u w:val="none"/>
          <w:lang w:val="en-US" w:eastAsia="zh-CN"/>
        </w:rPr>
        <w:t>扣1～3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7EB55C9C">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）质保期内，拒绝按合同提供售后服务，扣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3B0D1A1">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
          <w:color w:val="auto"/>
          <w:sz w:val="30"/>
          <w:szCs w:val="30"/>
          <w:highlight w:val="none"/>
          <w:u w:val="none"/>
        </w:rPr>
        <w:t>4.资信方面</w:t>
      </w:r>
    </w:p>
    <w:p w14:paraId="3B8F344E">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lang w:val="en-US" w:eastAsia="zh-CN"/>
        </w:rPr>
        <w:t>（1）供应商未提供询价书要求的资质文件、不满足询价书资质要求、报价与技术要求不符等，</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EFDB6DF">
      <w:pPr>
        <w:keepNext w:val="0"/>
        <w:keepLines w:val="0"/>
        <w:pageBreakBefore w:val="0"/>
        <w:kinsoku/>
        <w:wordWrap/>
        <w:overflowPunct/>
        <w:topLinePunct w:val="0"/>
        <w:autoSpaceDE/>
        <w:autoSpaceDN/>
        <w:bidi w:val="0"/>
        <w:spacing w:line="600" w:lineRule="exact"/>
        <w:ind w:left="0" w:firstLine="600" w:firstLineChars="200"/>
        <w:textAlignment w:val="auto"/>
        <w:rPr>
          <w:rFonts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2</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因报价、参数错误等原因</w:t>
      </w:r>
      <w:r>
        <w:rPr>
          <w:rFonts w:hint="eastAsia" w:ascii="仿宋_GB2312" w:hAnsi="仿宋_GB2312" w:eastAsia="仿宋_GB2312" w:cs="仿宋_GB2312"/>
          <w:bCs/>
          <w:color w:val="auto"/>
          <w:sz w:val="30"/>
          <w:szCs w:val="30"/>
          <w:highlight w:val="none"/>
          <w:u w:val="none"/>
          <w:lang w:val="en-US" w:eastAsia="zh-CN"/>
        </w:rPr>
        <w:t>放弃成交</w:t>
      </w:r>
      <w:r>
        <w:rPr>
          <w:rFonts w:hint="eastAsia" w:ascii="仿宋_GB2312" w:hAnsi="仿宋_GB2312" w:eastAsia="仿宋_GB2312" w:cs="仿宋_GB2312"/>
          <w:bCs/>
          <w:color w:val="auto"/>
          <w:sz w:val="30"/>
          <w:szCs w:val="30"/>
          <w:highlight w:val="none"/>
          <w:u w:val="none"/>
        </w:rPr>
        <w:t>，扣3分</w:t>
      </w:r>
      <w:r>
        <w:rPr>
          <w:rFonts w:hint="eastAsia" w:ascii="仿宋_GB2312" w:hAnsi="仿宋_GB2312" w:eastAsia="仿宋_GB2312" w:cs="仿宋_GB2312"/>
          <w:bCs/>
          <w:color w:val="auto"/>
          <w:sz w:val="30"/>
          <w:szCs w:val="30"/>
          <w:highlight w:val="none"/>
          <w:u w:val="none"/>
          <w:lang w:val="en-US" w:eastAsia="zh-CN"/>
        </w:rPr>
        <w:t>/次；成交人</w:t>
      </w:r>
      <w:r>
        <w:rPr>
          <w:rFonts w:hint="eastAsia" w:ascii="仿宋_GB2312" w:hAnsi="仿宋_GB2312" w:eastAsia="仿宋_GB2312" w:cs="仿宋_GB2312"/>
          <w:bCs/>
          <w:color w:val="auto"/>
          <w:sz w:val="30"/>
          <w:szCs w:val="30"/>
          <w:highlight w:val="none"/>
          <w:u w:val="none"/>
        </w:rPr>
        <w:t>拒绝签订合同</w:t>
      </w:r>
      <w:r>
        <w:rPr>
          <w:rFonts w:hint="eastAsia" w:ascii="仿宋_GB2312" w:hAnsi="仿宋_GB2312" w:eastAsia="仿宋_GB2312" w:cs="仿宋_GB2312"/>
          <w:bCs/>
          <w:color w:val="auto"/>
          <w:sz w:val="30"/>
          <w:szCs w:val="30"/>
          <w:highlight w:val="none"/>
          <w:u w:val="none"/>
          <w:lang w:val="en-US" w:eastAsia="zh-CN"/>
        </w:rPr>
        <w:t>或15个自然日内无法联系成交人</w:t>
      </w:r>
      <w:r>
        <w:rPr>
          <w:rFonts w:hint="eastAsia" w:ascii="仿宋_GB2312" w:hAnsi="仿宋_GB2312" w:eastAsia="仿宋_GB2312" w:cs="仿宋_GB2312"/>
          <w:bCs/>
          <w:color w:val="auto"/>
          <w:sz w:val="30"/>
          <w:szCs w:val="30"/>
          <w:highlight w:val="none"/>
          <w:u w:val="none"/>
        </w:rPr>
        <w:t>或</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拒绝履行合同，扣</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69481145">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w:t>
      </w:r>
      <w:r>
        <w:rPr>
          <w:rFonts w:hint="eastAsia" w:ascii="仿宋_GB2312" w:hAnsi="仿宋_GB2312" w:eastAsia="仿宋_GB2312" w:cs="仿宋_GB2312"/>
          <w:bCs/>
          <w:color w:val="auto"/>
          <w:sz w:val="30"/>
          <w:szCs w:val="30"/>
          <w:highlight w:val="none"/>
          <w:u w:val="none"/>
        </w:rPr>
        <w:t>未</w:t>
      </w:r>
      <w:r>
        <w:rPr>
          <w:rFonts w:hint="eastAsia" w:ascii="仿宋_GB2312" w:hAnsi="仿宋_GB2312" w:eastAsia="仿宋_GB2312" w:cs="仿宋_GB2312"/>
          <w:bCs/>
          <w:color w:val="auto"/>
          <w:sz w:val="30"/>
          <w:szCs w:val="30"/>
          <w:highlight w:val="none"/>
          <w:u w:val="none"/>
          <w:lang w:val="en-US" w:eastAsia="zh-CN"/>
        </w:rPr>
        <w:t>按合同约定</w:t>
      </w:r>
      <w:r>
        <w:rPr>
          <w:rFonts w:hint="eastAsia" w:ascii="仿宋_GB2312" w:hAnsi="仿宋_GB2312" w:eastAsia="仿宋_GB2312" w:cs="仿宋_GB2312"/>
          <w:bCs/>
          <w:color w:val="auto"/>
          <w:sz w:val="30"/>
          <w:szCs w:val="30"/>
          <w:highlight w:val="none"/>
          <w:u w:val="none"/>
        </w:rPr>
        <w:t>及时开具</w:t>
      </w:r>
      <w:r>
        <w:rPr>
          <w:rFonts w:hint="eastAsia" w:ascii="仿宋_GB2312" w:hAnsi="仿宋_GB2312" w:eastAsia="仿宋_GB2312" w:cs="仿宋_GB2312"/>
          <w:bCs/>
          <w:color w:val="auto"/>
          <w:sz w:val="30"/>
          <w:szCs w:val="30"/>
          <w:highlight w:val="none"/>
          <w:u w:val="none"/>
          <w:lang w:val="en-US" w:eastAsia="zh-CN"/>
        </w:rPr>
        <w:t>销售</w:t>
      </w:r>
      <w:r>
        <w:rPr>
          <w:rFonts w:hint="eastAsia" w:ascii="仿宋_GB2312" w:hAnsi="仿宋_GB2312" w:eastAsia="仿宋_GB2312" w:cs="仿宋_GB2312"/>
          <w:bCs/>
          <w:color w:val="auto"/>
          <w:sz w:val="30"/>
          <w:szCs w:val="30"/>
          <w:highlight w:val="none"/>
          <w:u w:val="none"/>
        </w:rPr>
        <w:t>发票</w:t>
      </w:r>
      <w:r>
        <w:rPr>
          <w:rFonts w:hint="eastAsia" w:ascii="仿宋_GB2312" w:hAnsi="仿宋_GB2312" w:eastAsia="仿宋_GB2312" w:cs="仿宋_GB2312"/>
          <w:bCs/>
          <w:color w:val="auto"/>
          <w:sz w:val="30"/>
          <w:szCs w:val="30"/>
          <w:highlight w:val="none"/>
          <w:u w:val="none"/>
          <w:lang w:val="en-US" w:eastAsia="zh-CN"/>
        </w:rPr>
        <w:t>或</w:t>
      </w:r>
      <w:r>
        <w:rPr>
          <w:rFonts w:hint="eastAsia" w:ascii="仿宋_GB2312" w:hAnsi="仿宋_GB2312" w:eastAsia="仿宋_GB2312" w:cs="仿宋_GB2312"/>
          <w:bCs/>
          <w:color w:val="auto"/>
          <w:sz w:val="30"/>
          <w:szCs w:val="30"/>
          <w:highlight w:val="none"/>
          <w:u w:val="none"/>
        </w:rPr>
        <w:t>未按</w:t>
      </w:r>
      <w:r>
        <w:rPr>
          <w:rFonts w:hint="eastAsia" w:ascii="仿宋_GB2312" w:hAnsi="仿宋_GB2312" w:eastAsia="仿宋_GB2312" w:cs="仿宋_GB2312"/>
          <w:bCs/>
          <w:color w:val="auto"/>
          <w:sz w:val="30"/>
          <w:szCs w:val="30"/>
          <w:highlight w:val="none"/>
          <w:u w:val="none"/>
          <w:lang w:val="en-US" w:eastAsia="zh-CN"/>
        </w:rPr>
        <w:t>合同约定</w:t>
      </w:r>
      <w:r>
        <w:rPr>
          <w:rFonts w:hint="eastAsia" w:ascii="仿宋_GB2312" w:hAnsi="仿宋_GB2312" w:eastAsia="仿宋_GB2312" w:cs="仿宋_GB2312"/>
          <w:bCs/>
          <w:color w:val="auto"/>
          <w:sz w:val="30"/>
          <w:szCs w:val="30"/>
          <w:highlight w:val="none"/>
          <w:u w:val="none"/>
        </w:rPr>
        <w:t>价格开具</w:t>
      </w:r>
      <w:r>
        <w:rPr>
          <w:rFonts w:hint="eastAsia" w:ascii="仿宋_GB2312" w:hAnsi="仿宋_GB2312" w:eastAsia="仿宋_GB2312" w:cs="仿宋_GB2312"/>
          <w:bCs/>
          <w:color w:val="auto"/>
          <w:sz w:val="30"/>
          <w:szCs w:val="30"/>
          <w:highlight w:val="none"/>
          <w:u w:val="none"/>
          <w:lang w:val="en-US" w:eastAsia="zh-CN"/>
        </w:rPr>
        <w:t>销售</w:t>
      </w:r>
      <w:r>
        <w:rPr>
          <w:rFonts w:hint="eastAsia" w:ascii="仿宋_GB2312" w:hAnsi="仿宋_GB2312" w:eastAsia="仿宋_GB2312" w:cs="仿宋_GB2312"/>
          <w:bCs/>
          <w:color w:val="auto"/>
          <w:sz w:val="30"/>
          <w:szCs w:val="30"/>
          <w:highlight w:val="none"/>
          <w:u w:val="none"/>
        </w:rPr>
        <w:t>发票，扣</w:t>
      </w:r>
      <w:r>
        <w:rPr>
          <w:rFonts w:hint="eastAsia" w:ascii="仿宋_GB2312" w:hAnsi="仿宋_GB2312" w:eastAsia="仿宋_GB2312" w:cs="仿宋_GB2312"/>
          <w:bCs/>
          <w:color w:val="auto"/>
          <w:sz w:val="30"/>
          <w:szCs w:val="30"/>
          <w:highlight w:val="none"/>
          <w:u w:val="none"/>
          <w:lang w:val="en-US" w:eastAsia="zh-CN"/>
        </w:rPr>
        <w:t>1～3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14F5FFE2">
      <w:pPr>
        <w:keepNext w:val="0"/>
        <w:keepLines w:val="0"/>
        <w:pageBreakBefore w:val="0"/>
        <w:kinsoku/>
        <w:wordWrap/>
        <w:overflowPunct/>
        <w:topLinePunct w:val="0"/>
        <w:autoSpaceDE/>
        <w:autoSpaceDN/>
        <w:bidi w:val="0"/>
        <w:spacing w:line="600" w:lineRule="exact"/>
        <w:ind w:left="0" w:firstLine="630"/>
        <w:textAlignment w:val="auto"/>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4</w:t>
      </w:r>
      <w:r>
        <w:rPr>
          <w:rFonts w:hint="eastAsia" w:ascii="仿宋_GB2312" w:hAnsi="仿宋_GB2312" w:eastAsia="仿宋_GB2312" w:cs="仿宋_GB2312"/>
          <w:bCs/>
          <w:color w:val="auto"/>
          <w:sz w:val="30"/>
          <w:szCs w:val="30"/>
          <w:highlight w:val="none"/>
          <w:u w:val="none"/>
        </w:rPr>
        <w:t>）</w:t>
      </w:r>
      <w:r>
        <w:rPr>
          <w:rFonts w:hint="eastAsia" w:ascii="仿宋_GB2312" w:hAnsi="仿宋_GB2312" w:eastAsia="仿宋_GB2312" w:cs="仿宋_GB2312"/>
          <w:bCs/>
          <w:color w:val="auto"/>
          <w:sz w:val="30"/>
          <w:szCs w:val="30"/>
          <w:highlight w:val="none"/>
          <w:u w:val="none"/>
          <w:lang w:val="en-US" w:eastAsia="zh-CN"/>
        </w:rPr>
        <w:t>成交人经核实</w:t>
      </w:r>
      <w:r>
        <w:rPr>
          <w:rFonts w:hint="eastAsia" w:ascii="仿宋_GB2312" w:hAnsi="仿宋_GB2312" w:eastAsia="仿宋_GB2312" w:cs="仿宋_GB2312"/>
          <w:bCs/>
          <w:color w:val="auto"/>
          <w:sz w:val="30"/>
          <w:szCs w:val="30"/>
          <w:highlight w:val="none"/>
          <w:u w:val="none"/>
        </w:rPr>
        <w:t>资质</w:t>
      </w:r>
      <w:r>
        <w:rPr>
          <w:rFonts w:hint="eastAsia" w:ascii="仿宋_GB2312" w:hAnsi="仿宋_GB2312" w:eastAsia="仿宋_GB2312" w:cs="仿宋_GB2312"/>
          <w:bCs/>
          <w:color w:val="auto"/>
          <w:sz w:val="30"/>
          <w:szCs w:val="30"/>
          <w:highlight w:val="none"/>
          <w:u w:val="none"/>
          <w:lang w:val="en-US" w:eastAsia="zh-CN"/>
        </w:rPr>
        <w:t>造假或</w:t>
      </w:r>
      <w:r>
        <w:rPr>
          <w:rFonts w:hint="eastAsia" w:ascii="仿宋_GB2312" w:hAnsi="仿宋_GB2312" w:eastAsia="仿宋_GB2312" w:cs="仿宋_GB2312"/>
          <w:bCs/>
          <w:color w:val="auto"/>
          <w:sz w:val="30"/>
          <w:szCs w:val="30"/>
          <w:highlight w:val="none"/>
          <w:u w:val="none"/>
        </w:rPr>
        <w:t>因知识产权引起纠纷，</w:t>
      </w:r>
      <w:r>
        <w:rPr>
          <w:rFonts w:hint="eastAsia" w:ascii="仿宋_GB2312" w:hAnsi="仿宋_GB2312" w:eastAsia="仿宋_GB2312" w:cs="仿宋_GB2312"/>
          <w:bCs/>
          <w:color w:val="auto"/>
          <w:sz w:val="30"/>
          <w:szCs w:val="30"/>
          <w:highlight w:val="none"/>
          <w:u w:val="none"/>
          <w:lang w:val="en-US" w:eastAsia="zh-CN"/>
        </w:rPr>
        <w:t>视严重程度</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6～10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899DA0E">
      <w:pPr>
        <w:keepNext w:val="0"/>
        <w:keepLines w:val="0"/>
        <w:pageBreakBefore w:val="0"/>
        <w:kinsoku/>
        <w:wordWrap/>
        <w:overflowPunct/>
        <w:topLinePunct w:val="0"/>
        <w:autoSpaceDE/>
        <w:autoSpaceDN/>
        <w:bidi w:val="0"/>
        <w:spacing w:line="600" w:lineRule="exact"/>
        <w:ind w:left="0" w:firstLine="600" w:firstLineChars="200"/>
        <w:textAlignment w:val="auto"/>
        <w:rPr>
          <w:rFonts w:hint="default" w:ascii="仿宋_GB2312" w:hAnsi="仿宋_GB2312" w:eastAsia="仿宋_GB2312" w:cs="仿宋_GB2312"/>
          <w:bCs/>
          <w:color w:val="auto"/>
          <w:sz w:val="30"/>
          <w:szCs w:val="30"/>
          <w:highlight w:val="none"/>
          <w:u w:val="none"/>
          <w:lang w:val="en-US" w:eastAsia="zh-CN"/>
        </w:rPr>
      </w:pPr>
      <w:r>
        <w:rPr>
          <w:rFonts w:hint="eastAsia" w:ascii="仿宋_GB2312" w:hAnsi="仿宋_GB2312" w:eastAsia="仿宋_GB2312" w:cs="仿宋_GB2312"/>
          <w:bCs/>
          <w:color w:val="auto"/>
          <w:sz w:val="30"/>
          <w:szCs w:val="30"/>
          <w:highlight w:val="none"/>
          <w:u w:val="none"/>
          <w:lang w:val="en-US" w:eastAsia="zh-CN"/>
        </w:rPr>
        <w:t>（5）成交人恶意报价扰乱采购秩序,</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仿宋_GB2312" w:eastAsia="仿宋_GB2312" w:cs="仿宋_GB2312"/>
          <w:bCs/>
          <w:color w:val="auto"/>
          <w:sz w:val="30"/>
          <w:szCs w:val="30"/>
          <w:highlight w:val="none"/>
          <w:u w:val="none"/>
        </w:rPr>
        <w:t>。</w:t>
      </w:r>
    </w:p>
    <w:p w14:paraId="0561E488">
      <w:pPr>
        <w:keepNext w:val="0"/>
        <w:keepLines w:val="0"/>
        <w:pageBreakBefore w:val="0"/>
        <w:widowControl/>
        <w:kinsoku/>
        <w:wordWrap/>
        <w:overflowPunct/>
        <w:topLinePunct w:val="0"/>
        <w:autoSpaceDE/>
        <w:autoSpaceDN/>
        <w:bidi w:val="0"/>
        <w:spacing w:line="600" w:lineRule="exact"/>
        <w:ind w:left="0" w:firstLine="602" w:firstLineChars="200"/>
        <w:textAlignment w:val="auto"/>
        <w:outlineLvl w:val="9"/>
        <w:rPr>
          <w:rFonts w:hint="eastAsia" w:ascii="仿宋_GB2312" w:hAnsi="仿宋" w:eastAsia="仿宋_GB2312" w:cs="Times New Roman"/>
          <w:b/>
          <w:bCs w:val="0"/>
          <w:color w:val="auto"/>
          <w:sz w:val="30"/>
          <w:szCs w:val="30"/>
          <w:highlight w:val="none"/>
          <w:u w:val="none"/>
          <w:lang w:eastAsia="zh-CN"/>
        </w:rPr>
      </w:pPr>
      <w:r>
        <w:rPr>
          <w:rFonts w:hint="eastAsia" w:ascii="仿宋_GB2312" w:hAnsi="仿宋_GB2312" w:eastAsia="仿宋_GB2312" w:cs="仿宋_GB2312"/>
          <w:b/>
          <w:bCs w:val="0"/>
          <w:color w:val="auto"/>
          <w:sz w:val="30"/>
          <w:szCs w:val="30"/>
          <w:highlight w:val="none"/>
          <w:u w:val="none"/>
          <w:lang w:val="en-US" w:eastAsia="zh-CN"/>
        </w:rPr>
        <w:t>5.</w:t>
      </w:r>
      <w:r>
        <w:rPr>
          <w:rFonts w:hint="eastAsia" w:ascii="仿宋_GB2312" w:hAnsi="仿宋" w:eastAsia="仿宋_GB2312" w:cs="Times New Roman"/>
          <w:b/>
          <w:bCs w:val="0"/>
          <w:color w:val="auto"/>
          <w:sz w:val="30"/>
          <w:szCs w:val="30"/>
          <w:highlight w:val="none"/>
          <w:u w:val="none"/>
          <w:lang w:eastAsia="zh-CN"/>
        </w:rPr>
        <w:t>供应商发生以下情况</w:t>
      </w:r>
      <w:r>
        <w:rPr>
          <w:rFonts w:hint="eastAsia" w:ascii="仿宋_GB2312" w:hAnsi="仿宋" w:eastAsia="仿宋_GB2312" w:cs="Times New Roman"/>
          <w:b/>
          <w:bCs w:val="0"/>
          <w:color w:val="auto"/>
          <w:sz w:val="30"/>
          <w:szCs w:val="30"/>
          <w:highlight w:val="none"/>
          <w:u w:val="none"/>
          <w:lang w:val="en-US" w:eastAsia="zh-CN"/>
        </w:rPr>
        <w:t>之一</w:t>
      </w:r>
      <w:r>
        <w:rPr>
          <w:rFonts w:hint="eastAsia" w:ascii="仿宋_GB2312" w:hAnsi="仿宋" w:eastAsia="仿宋_GB2312" w:cs="Times New Roman"/>
          <w:b/>
          <w:bCs w:val="0"/>
          <w:color w:val="auto"/>
          <w:sz w:val="30"/>
          <w:szCs w:val="30"/>
          <w:highlight w:val="none"/>
          <w:u w:val="none"/>
          <w:lang w:eastAsia="zh-CN"/>
        </w:rPr>
        <w:t>，直接列入负面清单，情节严重的永久性停止合作：</w:t>
      </w:r>
    </w:p>
    <w:p w14:paraId="2C6A25DD">
      <w:pPr>
        <w:keepNext w:val="0"/>
        <w:keepLines w:val="0"/>
        <w:pageBreakBefore w:val="0"/>
        <w:widowControl/>
        <w:kinsoku/>
        <w:wordWrap/>
        <w:overflowPunct/>
        <w:topLinePunct w:val="0"/>
        <w:autoSpaceDE/>
        <w:autoSpaceDN/>
        <w:bidi w:val="0"/>
        <w:adjustRightInd/>
        <w:snapToGrid/>
        <w:spacing w:line="600" w:lineRule="exact"/>
        <w:ind w:left="0" w:firstLine="600" w:firstLineChars="200"/>
        <w:jc w:val="left"/>
        <w:textAlignment w:val="auto"/>
        <w:outlineLvl w:val="9"/>
        <w:rPr>
          <w:rFonts w:hint="eastAsia" w:ascii="仿宋_GB2312" w:hAnsi="仿宋" w:eastAsia="仿宋_GB2312" w:cs="Times New Roman"/>
          <w:b w:val="0"/>
          <w:bCs/>
          <w:color w:val="auto"/>
          <w:sz w:val="30"/>
          <w:szCs w:val="30"/>
          <w:highlight w:val="none"/>
          <w:u w:val="none"/>
          <w:lang w:eastAsia="zh-CN"/>
        </w:rPr>
      </w:pPr>
      <w:r>
        <w:rPr>
          <w:rFonts w:hint="eastAsia" w:ascii="仿宋_GB2312" w:hAnsi="仿宋" w:eastAsia="仿宋_GB2312" w:cs="Times New Roman"/>
          <w:b w:val="0"/>
          <w:bCs/>
          <w:color w:val="auto"/>
          <w:sz w:val="30"/>
          <w:szCs w:val="30"/>
          <w:highlight w:val="none"/>
          <w:u w:val="none"/>
          <w:lang w:val="en-US" w:eastAsia="zh-CN"/>
        </w:rPr>
        <w:t>（1）</w:t>
      </w:r>
      <w:r>
        <w:rPr>
          <w:rFonts w:hint="eastAsia" w:ascii="仿宋_GB2312" w:hAnsi="仿宋" w:eastAsia="仿宋_GB2312" w:cs="Times New Roman"/>
          <w:b w:val="0"/>
          <w:bCs/>
          <w:color w:val="auto"/>
          <w:sz w:val="30"/>
          <w:szCs w:val="30"/>
          <w:highlight w:val="none"/>
          <w:u w:val="none"/>
          <w:lang w:eastAsia="zh-CN"/>
        </w:rPr>
        <w:t>涉及弄虚作假、欺诈、故意隐瞒、冒名顶替等行为。</w:t>
      </w:r>
    </w:p>
    <w:p w14:paraId="0B5FD449">
      <w:pPr>
        <w:keepNext w:val="0"/>
        <w:keepLines w:val="0"/>
        <w:pageBreakBefore w:val="0"/>
        <w:widowControl/>
        <w:kinsoku/>
        <w:wordWrap/>
        <w:overflowPunct/>
        <w:topLinePunct w:val="0"/>
        <w:autoSpaceDE/>
        <w:autoSpaceDN/>
        <w:bidi w:val="0"/>
        <w:spacing w:line="600" w:lineRule="exact"/>
        <w:ind w:left="0" w:leftChars="0" w:firstLine="642" w:firstLine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（2）涉及串标、围标、陪标或以损害其他诚信竞争者利益行为谋求中标。</w:t>
      </w:r>
    </w:p>
    <w:p w14:paraId="12471D57">
      <w:pPr>
        <w:keepNext w:val="0"/>
        <w:keepLines w:val="0"/>
        <w:pageBreakBefore w:val="0"/>
        <w:widowControl/>
        <w:kinsoku/>
        <w:wordWrap/>
        <w:overflowPunct/>
        <w:topLinePunct w:val="0"/>
        <w:autoSpaceDE/>
        <w:autoSpaceDN/>
        <w:bidi w:val="0"/>
        <w:spacing w:line="600" w:lineRule="exact"/>
        <w:ind w:left="0" w:left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 xml:space="preserve">    （3）供应商通过恶意法律诉讼起诉我公司，最终被法院裁定为败诉。</w:t>
      </w:r>
    </w:p>
    <w:p w14:paraId="23D665B8">
      <w:pPr>
        <w:keepNext w:val="0"/>
        <w:keepLines w:val="0"/>
        <w:pageBreakBefore w:val="0"/>
        <w:widowControl/>
        <w:kinsoku/>
        <w:wordWrap/>
        <w:overflowPunct/>
        <w:topLinePunct w:val="0"/>
        <w:autoSpaceDE/>
        <w:autoSpaceDN/>
        <w:bidi w:val="0"/>
        <w:spacing w:line="600" w:lineRule="exact"/>
        <w:ind w:left="0" w:leftChars="0" w:firstLine="0" w:firstLineChars="0"/>
        <w:textAlignment w:val="auto"/>
        <w:outlineLvl w:val="9"/>
        <w:rPr>
          <w:rFonts w:hint="eastAsia" w:ascii="仿宋_GB2312" w:hAnsi="仿宋" w:eastAsia="仿宋_GB2312" w:cs="Times New Roman"/>
          <w:b w:val="0"/>
          <w:bCs/>
          <w:color w:val="auto"/>
          <w:sz w:val="30"/>
          <w:szCs w:val="30"/>
          <w:highlight w:val="none"/>
          <w:u w:val="none"/>
          <w:lang w:val="en-US" w:eastAsia="zh-CN"/>
        </w:rPr>
      </w:pPr>
      <w:r>
        <w:rPr>
          <w:rFonts w:hint="eastAsia" w:ascii="仿宋_GB2312" w:hAnsi="仿宋" w:eastAsia="仿宋_GB2312" w:cs="Times New Roman"/>
          <w:b w:val="0"/>
          <w:bCs/>
          <w:color w:val="auto"/>
          <w:sz w:val="30"/>
          <w:szCs w:val="30"/>
          <w:highlight w:val="none"/>
          <w:u w:val="none"/>
          <w:lang w:val="en-US" w:eastAsia="zh-CN"/>
        </w:rPr>
        <w:t xml:space="preserve">    （4）供应商</w:t>
      </w:r>
      <w:r>
        <w:rPr>
          <w:rFonts w:hint="eastAsia" w:ascii="仿宋_GB2312" w:hAnsi="仿宋" w:eastAsia="仿宋_GB2312" w:cs="Times New Roman"/>
          <w:b w:val="0"/>
          <w:bCs/>
          <w:color w:val="auto"/>
          <w:sz w:val="30"/>
          <w:szCs w:val="30"/>
          <w:highlight w:val="none"/>
          <w:u w:val="none"/>
        </w:rPr>
        <w:t>违反廉</w:t>
      </w:r>
      <w:r>
        <w:rPr>
          <w:rFonts w:hint="eastAsia" w:ascii="仿宋_GB2312" w:hAnsi="仿宋" w:eastAsia="仿宋_GB2312" w:cs="Times New Roman"/>
          <w:b w:val="0"/>
          <w:bCs/>
          <w:color w:val="auto"/>
          <w:sz w:val="30"/>
          <w:szCs w:val="30"/>
          <w:highlight w:val="none"/>
          <w:u w:val="none"/>
          <w:lang w:eastAsia="zh-CN"/>
        </w:rPr>
        <w:t>政</w:t>
      </w:r>
      <w:r>
        <w:rPr>
          <w:rFonts w:hint="eastAsia" w:ascii="仿宋_GB2312" w:hAnsi="仿宋" w:eastAsia="仿宋_GB2312" w:cs="Times New Roman"/>
          <w:b w:val="0"/>
          <w:bCs/>
          <w:color w:val="auto"/>
          <w:sz w:val="30"/>
          <w:szCs w:val="30"/>
          <w:highlight w:val="none"/>
          <w:u w:val="none"/>
        </w:rPr>
        <w:t>协议。</w:t>
      </w:r>
    </w:p>
    <w:p w14:paraId="4607ED9E">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仿宋_GB2312" w:eastAsia="仿宋_GB2312" w:cs="仿宋_GB2312"/>
          <w:b/>
          <w:color w:val="auto"/>
          <w:sz w:val="30"/>
          <w:szCs w:val="30"/>
          <w:highlight w:val="none"/>
          <w:u w:val="none"/>
          <w:lang w:val="en-US" w:eastAsia="zh-CN"/>
        </w:rPr>
      </w:pPr>
      <w:r>
        <w:rPr>
          <w:rFonts w:hint="eastAsia" w:ascii="仿宋_GB2312" w:hAnsi="仿宋_GB2312" w:eastAsia="仿宋_GB2312" w:cs="仿宋_GB2312"/>
          <w:b/>
          <w:color w:val="auto"/>
          <w:sz w:val="30"/>
          <w:szCs w:val="30"/>
          <w:highlight w:val="none"/>
          <w:u w:val="none"/>
          <w:lang w:val="en-US" w:eastAsia="zh-CN"/>
        </w:rPr>
        <w:t>6.申诉</w:t>
      </w:r>
    </w:p>
    <w:p w14:paraId="053078A7">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val="0"/>
          <w:bCs w:val="0"/>
          <w:color w:val="auto"/>
          <w:kern w:val="2"/>
          <w:sz w:val="30"/>
          <w:szCs w:val="30"/>
          <w:u w:val="none"/>
          <w:lang w:val="en-US" w:eastAsia="zh-CN" w:bidi="ar-SA"/>
        </w:rPr>
        <w:t>为确保采购的公正性，供应商若对评审结果持有异议，有权向风险控制部提出申诉。风险控制部将负责核实申诉内容，并代表公司向供应商给予书面回复。</w:t>
      </w:r>
    </w:p>
    <w:p w14:paraId="0E51A447">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val="0"/>
          <w:bCs w:val="0"/>
          <w:color w:val="auto"/>
          <w:kern w:val="2"/>
          <w:sz w:val="30"/>
          <w:szCs w:val="30"/>
          <w:u w:val="none"/>
          <w:lang w:val="en-US" w:eastAsia="zh-CN" w:bidi="ar-SA"/>
        </w:rPr>
        <w:t>若经核实申诉理由不成立，且供应商采取重复申诉的方式扰乱我公司的采购秩序，</w:t>
      </w:r>
      <w:r>
        <w:rPr>
          <w:rFonts w:hint="eastAsia" w:ascii="仿宋_GB2312" w:hAnsi="仿宋_GB2312" w:eastAsia="仿宋_GB2312" w:cs="仿宋_GB2312"/>
          <w:bCs/>
          <w:color w:val="auto"/>
          <w:sz w:val="30"/>
          <w:szCs w:val="30"/>
          <w:highlight w:val="none"/>
          <w:u w:val="none"/>
        </w:rPr>
        <w:t>扣</w:t>
      </w:r>
      <w:r>
        <w:rPr>
          <w:rFonts w:hint="eastAsia" w:ascii="仿宋_GB2312" w:hAnsi="仿宋_GB2312" w:eastAsia="仿宋_GB2312" w:cs="仿宋_GB2312"/>
          <w:bCs/>
          <w:color w:val="auto"/>
          <w:sz w:val="30"/>
          <w:szCs w:val="30"/>
          <w:highlight w:val="none"/>
          <w:u w:val="none"/>
          <w:lang w:val="en-US" w:eastAsia="zh-CN"/>
        </w:rPr>
        <w:t>3</w:t>
      </w:r>
      <w:r>
        <w:rPr>
          <w:rFonts w:hint="eastAsia" w:ascii="仿宋_GB2312" w:hAnsi="仿宋_GB2312" w:eastAsia="仿宋_GB2312" w:cs="仿宋_GB2312"/>
          <w:bCs/>
          <w:color w:val="auto"/>
          <w:sz w:val="30"/>
          <w:szCs w:val="30"/>
          <w:highlight w:val="none"/>
          <w:u w:val="none"/>
        </w:rPr>
        <w:t>分</w:t>
      </w:r>
      <w:r>
        <w:rPr>
          <w:rFonts w:hint="eastAsia" w:ascii="仿宋_GB2312" w:hAnsi="仿宋_GB2312" w:eastAsia="仿宋_GB2312" w:cs="仿宋_GB2312"/>
          <w:bCs/>
          <w:color w:val="auto"/>
          <w:sz w:val="30"/>
          <w:szCs w:val="30"/>
          <w:highlight w:val="none"/>
          <w:u w:val="none"/>
          <w:lang w:val="en-US" w:eastAsia="zh-CN"/>
        </w:rPr>
        <w:t>/次</w:t>
      </w:r>
      <w:r>
        <w:rPr>
          <w:rFonts w:hint="eastAsia" w:ascii="仿宋_GB2312" w:hAnsi="宋体" w:eastAsia="仿宋_GB2312" w:cs="Times New Roman"/>
          <w:b w:val="0"/>
          <w:bCs w:val="0"/>
          <w:color w:val="auto"/>
          <w:kern w:val="2"/>
          <w:sz w:val="30"/>
          <w:szCs w:val="30"/>
          <w:u w:val="none"/>
          <w:lang w:val="en-US" w:eastAsia="zh-CN" w:bidi="ar-SA"/>
        </w:rPr>
        <w:t>。</w:t>
      </w:r>
    </w:p>
    <w:p w14:paraId="64239143">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val="0"/>
          <w:bCs w:val="0"/>
          <w:color w:val="auto"/>
          <w:kern w:val="2"/>
          <w:sz w:val="30"/>
          <w:szCs w:val="30"/>
          <w:u w:val="none"/>
          <w:lang w:val="en-US" w:eastAsia="zh-CN" w:bidi="ar-SA"/>
        </w:rPr>
        <w:t>若申诉理由依然不成立，且供应商拒绝接受合理解释，转而采取无理取闹、人身攻击、捏造事实、恶意投诉、制造舆情、聚众围堵等违法手段，该供应商将被直接列入负面清单，禁止与我公司进行合作。同时，我公司保留对供应商上述违法行为依法追究法律责任的权利。</w:t>
      </w:r>
    </w:p>
    <w:p w14:paraId="20AEA955">
      <w:pPr>
        <w:keepNext w:val="0"/>
        <w:keepLines w:val="0"/>
        <w:pageBreakBefore w:val="0"/>
        <w:kinsoku/>
        <w:wordWrap/>
        <w:overflowPunct/>
        <w:topLinePunct w:val="0"/>
        <w:autoSpaceDE/>
        <w:autoSpaceDN/>
        <w:bidi w:val="0"/>
        <w:spacing w:line="600" w:lineRule="exact"/>
        <w:ind w:left="0" w:firstLine="602" w:firstLineChars="200"/>
        <w:textAlignment w:val="auto"/>
        <w:rPr>
          <w:rFonts w:hint="eastAsia" w:ascii="仿宋_GB2312" w:hAnsi="宋体" w:eastAsia="仿宋_GB2312" w:cs="Times New Roman"/>
          <w:b w:val="0"/>
          <w:bCs w:val="0"/>
          <w:color w:val="auto"/>
          <w:kern w:val="2"/>
          <w:sz w:val="30"/>
          <w:szCs w:val="30"/>
          <w:u w:val="none"/>
          <w:lang w:val="en-US" w:eastAsia="zh-CN" w:bidi="ar-SA"/>
        </w:rPr>
      </w:pPr>
      <w:r>
        <w:rPr>
          <w:rFonts w:hint="eastAsia" w:ascii="仿宋_GB2312" w:hAnsi="宋体" w:eastAsia="仿宋_GB2312" w:cs="Times New Roman"/>
          <w:b/>
          <w:bCs/>
          <w:color w:val="auto"/>
          <w:sz w:val="30"/>
          <w:szCs w:val="30"/>
          <w:u w:val="none"/>
          <w:lang w:val="en-US" w:eastAsia="zh-CN"/>
        </w:rPr>
        <w:t>第三条</w:t>
      </w:r>
      <w:r>
        <w:rPr>
          <w:rFonts w:hint="eastAsia" w:ascii="仿宋_GB2312" w:hAnsi="宋体" w:eastAsia="仿宋_GB2312" w:cs="Times New Roman"/>
          <w:color w:val="auto"/>
          <w:sz w:val="30"/>
          <w:szCs w:val="30"/>
          <w:u w:val="none"/>
          <w:lang w:val="en-US" w:eastAsia="zh-CN"/>
        </w:rPr>
        <w:t xml:space="preserve"> </w:t>
      </w:r>
      <w:r>
        <w:rPr>
          <w:rFonts w:hint="eastAsia" w:ascii="仿宋_GB2312" w:hAnsi="宋体" w:eastAsia="仿宋_GB2312" w:cs="Times New Roman"/>
          <w:b w:val="0"/>
          <w:bCs w:val="0"/>
          <w:color w:val="auto"/>
          <w:kern w:val="2"/>
          <w:sz w:val="30"/>
          <w:szCs w:val="30"/>
          <w:u w:val="none"/>
          <w:lang w:val="en-US" w:eastAsia="zh-CN" w:bidi="ar-SA"/>
        </w:rPr>
        <w:t>针对已被纳入负面清单的供应商，通过积极采取自我完善、整改等有效措施，若其产品或服务质量能够提升至符合我公司所设定的标准与要求，原则上在达到此标准满1年后，该供应商有权向我方正式提交恢复报价资格的书面申请。此申请将严格遵循供应商合作能力确认流程的既定程序进行审核，一旦审核通过，该供应商将从负面清单中予以移除。</w:t>
      </w:r>
    </w:p>
    <w:p w14:paraId="6C74A1BF">
      <w:pPr>
        <w:keepNext w:val="0"/>
        <w:keepLines w:val="0"/>
        <w:pageBreakBefore w:val="0"/>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sz w:val="30"/>
          <w:szCs w:val="30"/>
          <w:u w:val="none"/>
          <w:lang w:val="en-US" w:eastAsia="zh-CN"/>
        </w:rPr>
        <w:t>具体流程如下：</w:t>
      </w:r>
    </w:p>
    <w:p w14:paraId="1BF6564A">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sz w:val="30"/>
          <w:szCs w:val="30"/>
          <w:u w:val="none"/>
          <w:lang w:val="en-US" w:eastAsia="zh-CN"/>
        </w:rPr>
        <w:t>（一）供应商提交恢复</w:t>
      </w:r>
      <w:r>
        <w:rPr>
          <w:rFonts w:hint="eastAsia" w:ascii="仿宋_GB2312" w:hAnsi="宋体" w:eastAsia="仿宋_GB2312" w:cs="Times New Roman"/>
          <w:strike w:val="0"/>
          <w:dstrike w:val="0"/>
          <w:color w:val="auto"/>
          <w:sz w:val="30"/>
          <w:szCs w:val="30"/>
          <w:u w:val="none"/>
          <w:lang w:val="en-US" w:eastAsia="zh-CN"/>
        </w:rPr>
        <w:t>报价</w:t>
      </w:r>
      <w:r>
        <w:rPr>
          <w:rFonts w:hint="eastAsia" w:ascii="仿宋_GB2312" w:hAnsi="宋体" w:eastAsia="仿宋_GB2312" w:cs="Times New Roman"/>
          <w:color w:val="auto"/>
          <w:sz w:val="30"/>
          <w:szCs w:val="30"/>
          <w:u w:val="none"/>
          <w:lang w:val="en-US" w:eastAsia="zh-CN"/>
        </w:rPr>
        <w:t>资质书面申请，以及相关的整改措施和效果文件；</w:t>
      </w:r>
    </w:p>
    <w:p w14:paraId="08FC5846">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sz w:val="30"/>
          <w:szCs w:val="30"/>
          <w:u w:val="none"/>
          <w:lang w:val="en-US" w:eastAsia="zh-CN"/>
        </w:rPr>
        <w:t>（二）供应保障部组织相关职能部门对提交的文件进行审查，必要时进行现场实地考察；</w:t>
      </w:r>
    </w:p>
    <w:p w14:paraId="2A976960">
      <w:pPr>
        <w:keepNext w:val="0"/>
        <w:keepLines w:val="0"/>
        <w:pageBreakBefore w:val="0"/>
        <w:numPr>
          <w:ilvl w:val="0"/>
          <w:numId w:val="0"/>
        </w:numPr>
        <w:kinsoku/>
        <w:wordWrap/>
        <w:overflowPunct/>
        <w:topLinePunct w:val="0"/>
        <w:autoSpaceDE/>
        <w:autoSpaceDN/>
        <w:bidi w:val="0"/>
        <w:spacing w:line="600" w:lineRule="exact"/>
        <w:ind w:left="0" w:firstLine="600" w:firstLineChars="200"/>
        <w:textAlignment w:val="auto"/>
        <w:rPr>
          <w:rFonts w:hint="eastAsia" w:ascii="仿宋_GB2312" w:hAnsi="宋体" w:eastAsia="仿宋_GB2312" w:cs="Times New Roman"/>
          <w:color w:val="auto"/>
          <w:sz w:val="30"/>
          <w:szCs w:val="30"/>
          <w:u w:val="none"/>
          <w:lang w:val="en-US" w:eastAsia="zh-CN"/>
        </w:rPr>
      </w:pPr>
      <w:r>
        <w:rPr>
          <w:rFonts w:hint="eastAsia" w:ascii="仿宋_GB2312" w:hAnsi="宋体" w:eastAsia="仿宋_GB2312" w:cs="Times New Roman"/>
          <w:color w:val="auto"/>
          <w:kern w:val="2"/>
          <w:sz w:val="30"/>
          <w:szCs w:val="30"/>
          <w:u w:val="none"/>
          <w:lang w:val="en-US" w:eastAsia="zh-CN" w:bidi="ar-SA"/>
        </w:rPr>
        <w:t>（三）</w:t>
      </w:r>
      <w:r>
        <w:rPr>
          <w:rFonts w:hint="eastAsia" w:ascii="仿宋_GB2312" w:hAnsi="宋体" w:eastAsia="仿宋_GB2312" w:cs="Times New Roman"/>
          <w:color w:val="auto"/>
          <w:sz w:val="30"/>
          <w:szCs w:val="30"/>
          <w:u w:val="none"/>
          <w:lang w:val="en-US" w:eastAsia="zh-CN"/>
        </w:rPr>
        <w:t>供应保障部根据审查及考察意见提出建议，经供应保障部、风险控制部、公司分管领导及公司总经理审批后，可从负面清单中消除。</w:t>
      </w:r>
    </w:p>
    <w:p w14:paraId="45200BFB">
      <w:pPr>
        <w:spacing w:line="600" w:lineRule="exact"/>
        <w:rPr>
          <w:rFonts w:hint="eastAsia" w:ascii="仿宋_GB2312" w:eastAsia="仿宋_GB2312" w:cs="‹ÎSå"/>
          <w:bCs/>
          <w:color w:val="auto"/>
          <w:kern w:val="1"/>
          <w:sz w:val="24"/>
        </w:rPr>
      </w:pPr>
    </w:p>
    <w:sectPr>
      <w:footerReference r:id="rId3" w:type="default"/>
      <w:footerReference r:id="rId4" w:type="even"/>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0320">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6C591">
    <w:pPr>
      <w:pStyle w:val="9"/>
      <w:framePr w:wrap="around" w:vAnchor="text" w:hAnchor="margin" w:xAlign="right" w:y="1"/>
      <w:rPr>
        <w:rStyle w:val="15"/>
      </w:rPr>
    </w:pPr>
    <w:r>
      <w:fldChar w:fldCharType="begin"/>
    </w:r>
    <w:r>
      <w:rPr>
        <w:rStyle w:val="15"/>
      </w:rPr>
      <w:instrText xml:space="preserve">PAGE  </w:instrText>
    </w:r>
    <w:r>
      <w:fldChar w:fldCharType="end"/>
    </w:r>
  </w:p>
  <w:p w14:paraId="4EA54A72">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M2I3NWQxMmQ0YmFkY2M0ZTQ5ZmI1YmVkM2MyMTMifQ=="/>
  </w:docVars>
  <w:rsids>
    <w:rsidRoot w:val="00C45D21"/>
    <w:rsid w:val="00000B36"/>
    <w:rsid w:val="00004237"/>
    <w:rsid w:val="0000578A"/>
    <w:rsid w:val="000067E8"/>
    <w:rsid w:val="0001180E"/>
    <w:rsid w:val="000154D0"/>
    <w:rsid w:val="00021C6D"/>
    <w:rsid w:val="00022545"/>
    <w:rsid w:val="00023B13"/>
    <w:rsid w:val="00035B7E"/>
    <w:rsid w:val="00036953"/>
    <w:rsid w:val="00041952"/>
    <w:rsid w:val="000440B4"/>
    <w:rsid w:val="000442FE"/>
    <w:rsid w:val="0004430B"/>
    <w:rsid w:val="0005551D"/>
    <w:rsid w:val="00057215"/>
    <w:rsid w:val="00066FCE"/>
    <w:rsid w:val="00072253"/>
    <w:rsid w:val="000750DA"/>
    <w:rsid w:val="00076FA5"/>
    <w:rsid w:val="00082DC7"/>
    <w:rsid w:val="00084A95"/>
    <w:rsid w:val="00085D85"/>
    <w:rsid w:val="0009221D"/>
    <w:rsid w:val="00094718"/>
    <w:rsid w:val="00096B78"/>
    <w:rsid w:val="000A18CC"/>
    <w:rsid w:val="000A53B9"/>
    <w:rsid w:val="000B17E4"/>
    <w:rsid w:val="000B5AE2"/>
    <w:rsid w:val="000B647E"/>
    <w:rsid w:val="000C32F4"/>
    <w:rsid w:val="000C4FD5"/>
    <w:rsid w:val="000C5D79"/>
    <w:rsid w:val="000D25BC"/>
    <w:rsid w:val="000D31D2"/>
    <w:rsid w:val="000D54B7"/>
    <w:rsid w:val="000E0B0E"/>
    <w:rsid w:val="000E25C0"/>
    <w:rsid w:val="000E55A7"/>
    <w:rsid w:val="000E79FF"/>
    <w:rsid w:val="000F1F49"/>
    <w:rsid w:val="000F4A0C"/>
    <w:rsid w:val="00103F5A"/>
    <w:rsid w:val="00105CEC"/>
    <w:rsid w:val="00114528"/>
    <w:rsid w:val="0011657B"/>
    <w:rsid w:val="0011682A"/>
    <w:rsid w:val="00117CC8"/>
    <w:rsid w:val="00122CEB"/>
    <w:rsid w:val="00130C15"/>
    <w:rsid w:val="00132B6D"/>
    <w:rsid w:val="00136470"/>
    <w:rsid w:val="00137AE7"/>
    <w:rsid w:val="00142A92"/>
    <w:rsid w:val="001460DE"/>
    <w:rsid w:val="00146253"/>
    <w:rsid w:val="00147180"/>
    <w:rsid w:val="0014734C"/>
    <w:rsid w:val="00147CBF"/>
    <w:rsid w:val="00147E94"/>
    <w:rsid w:val="00156ED5"/>
    <w:rsid w:val="00157FF3"/>
    <w:rsid w:val="00164E9C"/>
    <w:rsid w:val="00174744"/>
    <w:rsid w:val="0018747D"/>
    <w:rsid w:val="00192AC4"/>
    <w:rsid w:val="001B5216"/>
    <w:rsid w:val="001B763A"/>
    <w:rsid w:val="001C4684"/>
    <w:rsid w:val="001C60CF"/>
    <w:rsid w:val="001D0DDF"/>
    <w:rsid w:val="001D19CE"/>
    <w:rsid w:val="001D2603"/>
    <w:rsid w:val="001D43DE"/>
    <w:rsid w:val="001E1A46"/>
    <w:rsid w:val="001E28D0"/>
    <w:rsid w:val="001E3B0A"/>
    <w:rsid w:val="001F0092"/>
    <w:rsid w:val="001F7AFA"/>
    <w:rsid w:val="00203941"/>
    <w:rsid w:val="002058D8"/>
    <w:rsid w:val="0021057F"/>
    <w:rsid w:val="00210CD9"/>
    <w:rsid w:val="0021169B"/>
    <w:rsid w:val="0021212F"/>
    <w:rsid w:val="0021469F"/>
    <w:rsid w:val="00215AC9"/>
    <w:rsid w:val="00216253"/>
    <w:rsid w:val="00220534"/>
    <w:rsid w:val="0022356E"/>
    <w:rsid w:val="00233BFC"/>
    <w:rsid w:val="00235559"/>
    <w:rsid w:val="00240AED"/>
    <w:rsid w:val="00240B04"/>
    <w:rsid w:val="00242358"/>
    <w:rsid w:val="00260456"/>
    <w:rsid w:val="00262421"/>
    <w:rsid w:val="0026486A"/>
    <w:rsid w:val="002661E8"/>
    <w:rsid w:val="00267781"/>
    <w:rsid w:val="00272BEA"/>
    <w:rsid w:val="00277FCE"/>
    <w:rsid w:val="002825B5"/>
    <w:rsid w:val="00282866"/>
    <w:rsid w:val="00282E34"/>
    <w:rsid w:val="00283FDC"/>
    <w:rsid w:val="00284ABB"/>
    <w:rsid w:val="00284D39"/>
    <w:rsid w:val="00287AC1"/>
    <w:rsid w:val="00292B56"/>
    <w:rsid w:val="00294408"/>
    <w:rsid w:val="0029440A"/>
    <w:rsid w:val="00295C4B"/>
    <w:rsid w:val="00295F11"/>
    <w:rsid w:val="002970D7"/>
    <w:rsid w:val="002A6A7A"/>
    <w:rsid w:val="002A79C0"/>
    <w:rsid w:val="002B1D0F"/>
    <w:rsid w:val="002B2713"/>
    <w:rsid w:val="002B2D7A"/>
    <w:rsid w:val="002B48F7"/>
    <w:rsid w:val="002C0F5A"/>
    <w:rsid w:val="002C19D0"/>
    <w:rsid w:val="002C3E3B"/>
    <w:rsid w:val="002C49B4"/>
    <w:rsid w:val="002D3D3A"/>
    <w:rsid w:val="002D619C"/>
    <w:rsid w:val="002D6CD4"/>
    <w:rsid w:val="002E2100"/>
    <w:rsid w:val="002E2E4D"/>
    <w:rsid w:val="002E43B0"/>
    <w:rsid w:val="002E617E"/>
    <w:rsid w:val="002E6F53"/>
    <w:rsid w:val="002F7E71"/>
    <w:rsid w:val="00303B65"/>
    <w:rsid w:val="0030536C"/>
    <w:rsid w:val="00305929"/>
    <w:rsid w:val="00305B10"/>
    <w:rsid w:val="00307C64"/>
    <w:rsid w:val="00315F20"/>
    <w:rsid w:val="00320A71"/>
    <w:rsid w:val="003232EF"/>
    <w:rsid w:val="00331263"/>
    <w:rsid w:val="00333F71"/>
    <w:rsid w:val="00345892"/>
    <w:rsid w:val="00351DDE"/>
    <w:rsid w:val="00352154"/>
    <w:rsid w:val="003536CD"/>
    <w:rsid w:val="003570B1"/>
    <w:rsid w:val="0035795E"/>
    <w:rsid w:val="00361A5B"/>
    <w:rsid w:val="00362127"/>
    <w:rsid w:val="0036489F"/>
    <w:rsid w:val="003650CC"/>
    <w:rsid w:val="00365C58"/>
    <w:rsid w:val="00370AC7"/>
    <w:rsid w:val="00372F3D"/>
    <w:rsid w:val="00373904"/>
    <w:rsid w:val="00374DC7"/>
    <w:rsid w:val="00375302"/>
    <w:rsid w:val="00385A09"/>
    <w:rsid w:val="0039224A"/>
    <w:rsid w:val="0039605C"/>
    <w:rsid w:val="003A3FE3"/>
    <w:rsid w:val="003A5915"/>
    <w:rsid w:val="003B115A"/>
    <w:rsid w:val="003B2D22"/>
    <w:rsid w:val="003B2EB5"/>
    <w:rsid w:val="003C2388"/>
    <w:rsid w:val="003C6355"/>
    <w:rsid w:val="003D7A49"/>
    <w:rsid w:val="003E1EA3"/>
    <w:rsid w:val="003E21C2"/>
    <w:rsid w:val="003E6FDD"/>
    <w:rsid w:val="003F0158"/>
    <w:rsid w:val="003F2EF5"/>
    <w:rsid w:val="003F3C8C"/>
    <w:rsid w:val="003F5731"/>
    <w:rsid w:val="00402846"/>
    <w:rsid w:val="0040346D"/>
    <w:rsid w:val="00405FAB"/>
    <w:rsid w:val="004114C6"/>
    <w:rsid w:val="00417177"/>
    <w:rsid w:val="00417EAB"/>
    <w:rsid w:val="004212BA"/>
    <w:rsid w:val="00421BA4"/>
    <w:rsid w:val="00424157"/>
    <w:rsid w:val="00424F4B"/>
    <w:rsid w:val="00425EAB"/>
    <w:rsid w:val="0044143A"/>
    <w:rsid w:val="00441BF5"/>
    <w:rsid w:val="00442262"/>
    <w:rsid w:val="00442D43"/>
    <w:rsid w:val="004447D6"/>
    <w:rsid w:val="004450B1"/>
    <w:rsid w:val="00445E09"/>
    <w:rsid w:val="0044680F"/>
    <w:rsid w:val="004470B0"/>
    <w:rsid w:val="00451F80"/>
    <w:rsid w:val="00452358"/>
    <w:rsid w:val="00453DC6"/>
    <w:rsid w:val="0045550B"/>
    <w:rsid w:val="004671B9"/>
    <w:rsid w:val="004678E4"/>
    <w:rsid w:val="00473FCE"/>
    <w:rsid w:val="004746C9"/>
    <w:rsid w:val="004748EC"/>
    <w:rsid w:val="00477CC9"/>
    <w:rsid w:val="004A0276"/>
    <w:rsid w:val="004A17CB"/>
    <w:rsid w:val="004A24C4"/>
    <w:rsid w:val="004A62BD"/>
    <w:rsid w:val="004C2F27"/>
    <w:rsid w:val="004D27B4"/>
    <w:rsid w:val="004E64C7"/>
    <w:rsid w:val="004E79BB"/>
    <w:rsid w:val="004F1B2A"/>
    <w:rsid w:val="004F29B2"/>
    <w:rsid w:val="004F3C10"/>
    <w:rsid w:val="004F6034"/>
    <w:rsid w:val="005025FC"/>
    <w:rsid w:val="00502F5B"/>
    <w:rsid w:val="00506FC7"/>
    <w:rsid w:val="00510DDF"/>
    <w:rsid w:val="00510F7D"/>
    <w:rsid w:val="00512260"/>
    <w:rsid w:val="00515AEA"/>
    <w:rsid w:val="005207BA"/>
    <w:rsid w:val="005239C0"/>
    <w:rsid w:val="0053082E"/>
    <w:rsid w:val="00532E63"/>
    <w:rsid w:val="00535F64"/>
    <w:rsid w:val="00541377"/>
    <w:rsid w:val="00541AF9"/>
    <w:rsid w:val="00551866"/>
    <w:rsid w:val="00554F8A"/>
    <w:rsid w:val="0056437C"/>
    <w:rsid w:val="00572048"/>
    <w:rsid w:val="005773DF"/>
    <w:rsid w:val="00581B28"/>
    <w:rsid w:val="00581DE7"/>
    <w:rsid w:val="00596618"/>
    <w:rsid w:val="00596D10"/>
    <w:rsid w:val="005A16A0"/>
    <w:rsid w:val="005A7CE0"/>
    <w:rsid w:val="005B133E"/>
    <w:rsid w:val="005B5FE4"/>
    <w:rsid w:val="005C0D7C"/>
    <w:rsid w:val="005C3BFB"/>
    <w:rsid w:val="005C4296"/>
    <w:rsid w:val="005C4354"/>
    <w:rsid w:val="005C4E46"/>
    <w:rsid w:val="005D0E39"/>
    <w:rsid w:val="005D1832"/>
    <w:rsid w:val="005D6322"/>
    <w:rsid w:val="005E332E"/>
    <w:rsid w:val="005F0D68"/>
    <w:rsid w:val="005F3F80"/>
    <w:rsid w:val="006031F4"/>
    <w:rsid w:val="00603A81"/>
    <w:rsid w:val="006136BF"/>
    <w:rsid w:val="0061459D"/>
    <w:rsid w:val="00616C55"/>
    <w:rsid w:val="006202AC"/>
    <w:rsid w:val="00630A31"/>
    <w:rsid w:val="006348A8"/>
    <w:rsid w:val="006374A6"/>
    <w:rsid w:val="00637C6B"/>
    <w:rsid w:val="0064181E"/>
    <w:rsid w:val="00641CF0"/>
    <w:rsid w:val="00642194"/>
    <w:rsid w:val="006440AB"/>
    <w:rsid w:val="006455DD"/>
    <w:rsid w:val="00650C76"/>
    <w:rsid w:val="0065592C"/>
    <w:rsid w:val="0065665D"/>
    <w:rsid w:val="006570E9"/>
    <w:rsid w:val="0066697E"/>
    <w:rsid w:val="00666A27"/>
    <w:rsid w:val="00677DD7"/>
    <w:rsid w:val="00690F06"/>
    <w:rsid w:val="0069245E"/>
    <w:rsid w:val="00695230"/>
    <w:rsid w:val="006A21D9"/>
    <w:rsid w:val="006A3299"/>
    <w:rsid w:val="006B0D41"/>
    <w:rsid w:val="006B2734"/>
    <w:rsid w:val="006B7778"/>
    <w:rsid w:val="006C00E6"/>
    <w:rsid w:val="006C3D71"/>
    <w:rsid w:val="006C4AB7"/>
    <w:rsid w:val="006C5BDB"/>
    <w:rsid w:val="006D1016"/>
    <w:rsid w:val="006D2075"/>
    <w:rsid w:val="006D504C"/>
    <w:rsid w:val="006E0B94"/>
    <w:rsid w:val="006E14A5"/>
    <w:rsid w:val="006E2403"/>
    <w:rsid w:val="006E27E4"/>
    <w:rsid w:val="006E3D0A"/>
    <w:rsid w:val="006E5D3B"/>
    <w:rsid w:val="007013ED"/>
    <w:rsid w:val="007037A1"/>
    <w:rsid w:val="00703B92"/>
    <w:rsid w:val="0070706C"/>
    <w:rsid w:val="0070762B"/>
    <w:rsid w:val="00711691"/>
    <w:rsid w:val="00715E69"/>
    <w:rsid w:val="007254A6"/>
    <w:rsid w:val="00727A34"/>
    <w:rsid w:val="00727BA1"/>
    <w:rsid w:val="00735CE1"/>
    <w:rsid w:val="007363E5"/>
    <w:rsid w:val="00737965"/>
    <w:rsid w:val="00742631"/>
    <w:rsid w:val="0074325E"/>
    <w:rsid w:val="0074488A"/>
    <w:rsid w:val="00754944"/>
    <w:rsid w:val="00754C6F"/>
    <w:rsid w:val="00756814"/>
    <w:rsid w:val="00756FDD"/>
    <w:rsid w:val="00760BFE"/>
    <w:rsid w:val="00761D09"/>
    <w:rsid w:val="0076214C"/>
    <w:rsid w:val="00766B66"/>
    <w:rsid w:val="00766EEB"/>
    <w:rsid w:val="00774B32"/>
    <w:rsid w:val="007750C9"/>
    <w:rsid w:val="007761CD"/>
    <w:rsid w:val="007826D3"/>
    <w:rsid w:val="00792B5E"/>
    <w:rsid w:val="00792B8A"/>
    <w:rsid w:val="00795617"/>
    <w:rsid w:val="00796929"/>
    <w:rsid w:val="007A4B81"/>
    <w:rsid w:val="007A6084"/>
    <w:rsid w:val="007B324B"/>
    <w:rsid w:val="007B4344"/>
    <w:rsid w:val="007B50AE"/>
    <w:rsid w:val="007C60F6"/>
    <w:rsid w:val="007C7E84"/>
    <w:rsid w:val="007D0B07"/>
    <w:rsid w:val="007D279A"/>
    <w:rsid w:val="007D27B2"/>
    <w:rsid w:val="007D405B"/>
    <w:rsid w:val="007D4112"/>
    <w:rsid w:val="007D6199"/>
    <w:rsid w:val="007D64DF"/>
    <w:rsid w:val="007E1861"/>
    <w:rsid w:val="007E3287"/>
    <w:rsid w:val="007E4176"/>
    <w:rsid w:val="007E41FD"/>
    <w:rsid w:val="007E51F0"/>
    <w:rsid w:val="007E7F3F"/>
    <w:rsid w:val="007F0935"/>
    <w:rsid w:val="007F2DD6"/>
    <w:rsid w:val="0080132D"/>
    <w:rsid w:val="008028EC"/>
    <w:rsid w:val="00814965"/>
    <w:rsid w:val="008203EE"/>
    <w:rsid w:val="008253BF"/>
    <w:rsid w:val="008318D4"/>
    <w:rsid w:val="008323DF"/>
    <w:rsid w:val="0083579F"/>
    <w:rsid w:val="00850539"/>
    <w:rsid w:val="008516C8"/>
    <w:rsid w:val="00864401"/>
    <w:rsid w:val="00865C45"/>
    <w:rsid w:val="00872B61"/>
    <w:rsid w:val="00891F81"/>
    <w:rsid w:val="00891F9E"/>
    <w:rsid w:val="0089366B"/>
    <w:rsid w:val="00894D40"/>
    <w:rsid w:val="008A222B"/>
    <w:rsid w:val="008A6873"/>
    <w:rsid w:val="008A6F80"/>
    <w:rsid w:val="008B0777"/>
    <w:rsid w:val="008B1EC3"/>
    <w:rsid w:val="008B60B2"/>
    <w:rsid w:val="008C17EE"/>
    <w:rsid w:val="008C220D"/>
    <w:rsid w:val="008C36B2"/>
    <w:rsid w:val="008C51E9"/>
    <w:rsid w:val="008C5EFB"/>
    <w:rsid w:val="008D4745"/>
    <w:rsid w:val="008D6A58"/>
    <w:rsid w:val="008E0357"/>
    <w:rsid w:val="008E5D3C"/>
    <w:rsid w:val="008F1D19"/>
    <w:rsid w:val="008F36CE"/>
    <w:rsid w:val="008F3968"/>
    <w:rsid w:val="008F66E1"/>
    <w:rsid w:val="008F6D91"/>
    <w:rsid w:val="00900768"/>
    <w:rsid w:val="009016BB"/>
    <w:rsid w:val="00905323"/>
    <w:rsid w:val="009163BA"/>
    <w:rsid w:val="00916471"/>
    <w:rsid w:val="009251EA"/>
    <w:rsid w:val="009267DF"/>
    <w:rsid w:val="009279CE"/>
    <w:rsid w:val="00931387"/>
    <w:rsid w:val="0093258E"/>
    <w:rsid w:val="0093323A"/>
    <w:rsid w:val="00933F72"/>
    <w:rsid w:val="0093612E"/>
    <w:rsid w:val="009364A4"/>
    <w:rsid w:val="0093666D"/>
    <w:rsid w:val="00946CE7"/>
    <w:rsid w:val="00950277"/>
    <w:rsid w:val="009509C5"/>
    <w:rsid w:val="00955B3C"/>
    <w:rsid w:val="00964C87"/>
    <w:rsid w:val="00967593"/>
    <w:rsid w:val="00973D16"/>
    <w:rsid w:val="00974F69"/>
    <w:rsid w:val="00975972"/>
    <w:rsid w:val="009772F1"/>
    <w:rsid w:val="0097779D"/>
    <w:rsid w:val="00977C2E"/>
    <w:rsid w:val="00980EEB"/>
    <w:rsid w:val="0098745B"/>
    <w:rsid w:val="00990603"/>
    <w:rsid w:val="00991DA9"/>
    <w:rsid w:val="009922A7"/>
    <w:rsid w:val="009944D1"/>
    <w:rsid w:val="009946F0"/>
    <w:rsid w:val="009966CF"/>
    <w:rsid w:val="009A1CE6"/>
    <w:rsid w:val="009A3F44"/>
    <w:rsid w:val="009B11C6"/>
    <w:rsid w:val="009B1314"/>
    <w:rsid w:val="009B334A"/>
    <w:rsid w:val="009B41AD"/>
    <w:rsid w:val="009C261D"/>
    <w:rsid w:val="009C2715"/>
    <w:rsid w:val="009C43D4"/>
    <w:rsid w:val="009C693D"/>
    <w:rsid w:val="009C70C8"/>
    <w:rsid w:val="009D3D88"/>
    <w:rsid w:val="009D7896"/>
    <w:rsid w:val="009E16DF"/>
    <w:rsid w:val="009E27E7"/>
    <w:rsid w:val="009E3355"/>
    <w:rsid w:val="009E3CC5"/>
    <w:rsid w:val="009E6E54"/>
    <w:rsid w:val="009E79C7"/>
    <w:rsid w:val="009F2E9A"/>
    <w:rsid w:val="009F6C65"/>
    <w:rsid w:val="00A00AC0"/>
    <w:rsid w:val="00A12E91"/>
    <w:rsid w:val="00A14C1D"/>
    <w:rsid w:val="00A16CBA"/>
    <w:rsid w:val="00A16F14"/>
    <w:rsid w:val="00A17585"/>
    <w:rsid w:val="00A20FAF"/>
    <w:rsid w:val="00A22FB8"/>
    <w:rsid w:val="00A2413D"/>
    <w:rsid w:val="00A26710"/>
    <w:rsid w:val="00A27003"/>
    <w:rsid w:val="00A27005"/>
    <w:rsid w:val="00A31EFB"/>
    <w:rsid w:val="00A347B9"/>
    <w:rsid w:val="00A352DD"/>
    <w:rsid w:val="00A3551D"/>
    <w:rsid w:val="00A358F5"/>
    <w:rsid w:val="00A360C3"/>
    <w:rsid w:val="00A372E8"/>
    <w:rsid w:val="00A46F16"/>
    <w:rsid w:val="00A5028C"/>
    <w:rsid w:val="00A53D1D"/>
    <w:rsid w:val="00A55828"/>
    <w:rsid w:val="00A56D2D"/>
    <w:rsid w:val="00A61D06"/>
    <w:rsid w:val="00A627FA"/>
    <w:rsid w:val="00A6315C"/>
    <w:rsid w:val="00A63E2F"/>
    <w:rsid w:val="00A74B1F"/>
    <w:rsid w:val="00A8036C"/>
    <w:rsid w:val="00A80505"/>
    <w:rsid w:val="00A82898"/>
    <w:rsid w:val="00A83DD9"/>
    <w:rsid w:val="00A83FBD"/>
    <w:rsid w:val="00A85922"/>
    <w:rsid w:val="00A95058"/>
    <w:rsid w:val="00A95940"/>
    <w:rsid w:val="00AA2294"/>
    <w:rsid w:val="00AB368E"/>
    <w:rsid w:val="00AB58C0"/>
    <w:rsid w:val="00AC1AD1"/>
    <w:rsid w:val="00AC2B07"/>
    <w:rsid w:val="00AC343E"/>
    <w:rsid w:val="00AD545E"/>
    <w:rsid w:val="00AD751E"/>
    <w:rsid w:val="00AF27E2"/>
    <w:rsid w:val="00AF2B0C"/>
    <w:rsid w:val="00AF2B18"/>
    <w:rsid w:val="00AF325D"/>
    <w:rsid w:val="00AF4C28"/>
    <w:rsid w:val="00AF5F5E"/>
    <w:rsid w:val="00B01C23"/>
    <w:rsid w:val="00B01CD2"/>
    <w:rsid w:val="00B064DF"/>
    <w:rsid w:val="00B06D52"/>
    <w:rsid w:val="00B128B5"/>
    <w:rsid w:val="00B13D48"/>
    <w:rsid w:val="00B14CA8"/>
    <w:rsid w:val="00B15CE8"/>
    <w:rsid w:val="00B16AE3"/>
    <w:rsid w:val="00B21447"/>
    <w:rsid w:val="00B2455F"/>
    <w:rsid w:val="00B25D09"/>
    <w:rsid w:val="00B275F9"/>
    <w:rsid w:val="00B300AE"/>
    <w:rsid w:val="00B339A8"/>
    <w:rsid w:val="00B3610D"/>
    <w:rsid w:val="00B379F8"/>
    <w:rsid w:val="00B4188D"/>
    <w:rsid w:val="00B42D3B"/>
    <w:rsid w:val="00B46BE4"/>
    <w:rsid w:val="00B46F97"/>
    <w:rsid w:val="00B5269E"/>
    <w:rsid w:val="00B52FCF"/>
    <w:rsid w:val="00B54867"/>
    <w:rsid w:val="00B56F9D"/>
    <w:rsid w:val="00B57B6C"/>
    <w:rsid w:val="00B615FF"/>
    <w:rsid w:val="00B61FCF"/>
    <w:rsid w:val="00B625D0"/>
    <w:rsid w:val="00B631FA"/>
    <w:rsid w:val="00B64739"/>
    <w:rsid w:val="00B74320"/>
    <w:rsid w:val="00B75DE3"/>
    <w:rsid w:val="00B8380D"/>
    <w:rsid w:val="00B83A83"/>
    <w:rsid w:val="00B84393"/>
    <w:rsid w:val="00BA5669"/>
    <w:rsid w:val="00BB28AF"/>
    <w:rsid w:val="00BB3952"/>
    <w:rsid w:val="00BB450B"/>
    <w:rsid w:val="00BC5FB3"/>
    <w:rsid w:val="00BC6AC8"/>
    <w:rsid w:val="00BD0AE3"/>
    <w:rsid w:val="00BD24BA"/>
    <w:rsid w:val="00BE0F95"/>
    <w:rsid w:val="00BE3215"/>
    <w:rsid w:val="00BE33D4"/>
    <w:rsid w:val="00BE53C4"/>
    <w:rsid w:val="00BE58C3"/>
    <w:rsid w:val="00BE5F10"/>
    <w:rsid w:val="00BE6A8A"/>
    <w:rsid w:val="00BE6CF9"/>
    <w:rsid w:val="00BF2E4E"/>
    <w:rsid w:val="00BF4A8E"/>
    <w:rsid w:val="00BF7184"/>
    <w:rsid w:val="00C008F2"/>
    <w:rsid w:val="00C01CB2"/>
    <w:rsid w:val="00C0539F"/>
    <w:rsid w:val="00C117F1"/>
    <w:rsid w:val="00C14159"/>
    <w:rsid w:val="00C14486"/>
    <w:rsid w:val="00C20163"/>
    <w:rsid w:val="00C201E7"/>
    <w:rsid w:val="00C20598"/>
    <w:rsid w:val="00C23540"/>
    <w:rsid w:val="00C241EB"/>
    <w:rsid w:val="00C263EA"/>
    <w:rsid w:val="00C27C77"/>
    <w:rsid w:val="00C31B6C"/>
    <w:rsid w:val="00C34768"/>
    <w:rsid w:val="00C45D21"/>
    <w:rsid w:val="00C51A2F"/>
    <w:rsid w:val="00C53196"/>
    <w:rsid w:val="00C5567F"/>
    <w:rsid w:val="00C607DC"/>
    <w:rsid w:val="00C62D4A"/>
    <w:rsid w:val="00C6413D"/>
    <w:rsid w:val="00C70266"/>
    <w:rsid w:val="00C7603E"/>
    <w:rsid w:val="00C773AF"/>
    <w:rsid w:val="00C83828"/>
    <w:rsid w:val="00C92221"/>
    <w:rsid w:val="00C93932"/>
    <w:rsid w:val="00C94853"/>
    <w:rsid w:val="00C95871"/>
    <w:rsid w:val="00C9749C"/>
    <w:rsid w:val="00CA1C12"/>
    <w:rsid w:val="00CA79C6"/>
    <w:rsid w:val="00CD294A"/>
    <w:rsid w:val="00CF26CA"/>
    <w:rsid w:val="00CF3AD6"/>
    <w:rsid w:val="00CF58CF"/>
    <w:rsid w:val="00CF7ACB"/>
    <w:rsid w:val="00D070ED"/>
    <w:rsid w:val="00D1486C"/>
    <w:rsid w:val="00D171F0"/>
    <w:rsid w:val="00D17229"/>
    <w:rsid w:val="00D172C2"/>
    <w:rsid w:val="00D17F0C"/>
    <w:rsid w:val="00D236FA"/>
    <w:rsid w:val="00D26EAE"/>
    <w:rsid w:val="00D31B0A"/>
    <w:rsid w:val="00D36183"/>
    <w:rsid w:val="00D40109"/>
    <w:rsid w:val="00D647B1"/>
    <w:rsid w:val="00D71DC8"/>
    <w:rsid w:val="00D7217C"/>
    <w:rsid w:val="00D750FB"/>
    <w:rsid w:val="00D7603E"/>
    <w:rsid w:val="00D76507"/>
    <w:rsid w:val="00D77608"/>
    <w:rsid w:val="00D77E0B"/>
    <w:rsid w:val="00D83C9F"/>
    <w:rsid w:val="00D85EC6"/>
    <w:rsid w:val="00D877E8"/>
    <w:rsid w:val="00D922D1"/>
    <w:rsid w:val="00D92E53"/>
    <w:rsid w:val="00D9439B"/>
    <w:rsid w:val="00DA3266"/>
    <w:rsid w:val="00DA408A"/>
    <w:rsid w:val="00DA4FD9"/>
    <w:rsid w:val="00DC03EB"/>
    <w:rsid w:val="00DC03F8"/>
    <w:rsid w:val="00DC14BC"/>
    <w:rsid w:val="00DC306D"/>
    <w:rsid w:val="00DC4409"/>
    <w:rsid w:val="00DC45EF"/>
    <w:rsid w:val="00DD386F"/>
    <w:rsid w:val="00DD40D1"/>
    <w:rsid w:val="00DD67B2"/>
    <w:rsid w:val="00DE040B"/>
    <w:rsid w:val="00DE0D80"/>
    <w:rsid w:val="00DE5F1F"/>
    <w:rsid w:val="00DF255F"/>
    <w:rsid w:val="00DF285E"/>
    <w:rsid w:val="00DF2B93"/>
    <w:rsid w:val="00DF3B18"/>
    <w:rsid w:val="00DF3B64"/>
    <w:rsid w:val="00E03F47"/>
    <w:rsid w:val="00E07F8C"/>
    <w:rsid w:val="00E10AA7"/>
    <w:rsid w:val="00E13B52"/>
    <w:rsid w:val="00E15890"/>
    <w:rsid w:val="00E15C7A"/>
    <w:rsid w:val="00E1650C"/>
    <w:rsid w:val="00E2059D"/>
    <w:rsid w:val="00E20794"/>
    <w:rsid w:val="00E20F14"/>
    <w:rsid w:val="00E21752"/>
    <w:rsid w:val="00E217DE"/>
    <w:rsid w:val="00E26A62"/>
    <w:rsid w:val="00E26B91"/>
    <w:rsid w:val="00E314F0"/>
    <w:rsid w:val="00E31D1C"/>
    <w:rsid w:val="00E362AC"/>
    <w:rsid w:val="00E362DD"/>
    <w:rsid w:val="00E374B9"/>
    <w:rsid w:val="00E40249"/>
    <w:rsid w:val="00E411A4"/>
    <w:rsid w:val="00E441A2"/>
    <w:rsid w:val="00E4464A"/>
    <w:rsid w:val="00E77CFB"/>
    <w:rsid w:val="00E807D2"/>
    <w:rsid w:val="00E84742"/>
    <w:rsid w:val="00E902E6"/>
    <w:rsid w:val="00E9043E"/>
    <w:rsid w:val="00E91C62"/>
    <w:rsid w:val="00E92276"/>
    <w:rsid w:val="00E96910"/>
    <w:rsid w:val="00EA3173"/>
    <w:rsid w:val="00EA421B"/>
    <w:rsid w:val="00EA538E"/>
    <w:rsid w:val="00EA6AED"/>
    <w:rsid w:val="00EA75EB"/>
    <w:rsid w:val="00EA795B"/>
    <w:rsid w:val="00EB0F83"/>
    <w:rsid w:val="00EB3B26"/>
    <w:rsid w:val="00EB5CD6"/>
    <w:rsid w:val="00EB62A8"/>
    <w:rsid w:val="00EC2566"/>
    <w:rsid w:val="00ED5039"/>
    <w:rsid w:val="00ED5990"/>
    <w:rsid w:val="00ED5C53"/>
    <w:rsid w:val="00ED62BB"/>
    <w:rsid w:val="00ED7633"/>
    <w:rsid w:val="00EF025D"/>
    <w:rsid w:val="00F00776"/>
    <w:rsid w:val="00F046E8"/>
    <w:rsid w:val="00F0616F"/>
    <w:rsid w:val="00F07666"/>
    <w:rsid w:val="00F11326"/>
    <w:rsid w:val="00F13CD4"/>
    <w:rsid w:val="00F1687E"/>
    <w:rsid w:val="00F2153A"/>
    <w:rsid w:val="00F33AA9"/>
    <w:rsid w:val="00F418F1"/>
    <w:rsid w:val="00F439EA"/>
    <w:rsid w:val="00F43DFA"/>
    <w:rsid w:val="00F44D58"/>
    <w:rsid w:val="00F51D3A"/>
    <w:rsid w:val="00F52F65"/>
    <w:rsid w:val="00F543A8"/>
    <w:rsid w:val="00F54B2B"/>
    <w:rsid w:val="00F55DFB"/>
    <w:rsid w:val="00F7078A"/>
    <w:rsid w:val="00F7465D"/>
    <w:rsid w:val="00F76D83"/>
    <w:rsid w:val="00F77048"/>
    <w:rsid w:val="00F7774E"/>
    <w:rsid w:val="00F837FB"/>
    <w:rsid w:val="00F840D5"/>
    <w:rsid w:val="00F84679"/>
    <w:rsid w:val="00F86EAD"/>
    <w:rsid w:val="00F91EC8"/>
    <w:rsid w:val="00F96109"/>
    <w:rsid w:val="00F96D9A"/>
    <w:rsid w:val="00F97BF0"/>
    <w:rsid w:val="00FA1DD2"/>
    <w:rsid w:val="00FA33CC"/>
    <w:rsid w:val="00FB207B"/>
    <w:rsid w:val="00FB548B"/>
    <w:rsid w:val="00FC0A41"/>
    <w:rsid w:val="00FC322E"/>
    <w:rsid w:val="00FC79BC"/>
    <w:rsid w:val="00FC7B8A"/>
    <w:rsid w:val="00FD0626"/>
    <w:rsid w:val="00FD1361"/>
    <w:rsid w:val="00FD564F"/>
    <w:rsid w:val="00FE0097"/>
    <w:rsid w:val="00FE094D"/>
    <w:rsid w:val="00FE1300"/>
    <w:rsid w:val="00FE147E"/>
    <w:rsid w:val="00FF2F69"/>
    <w:rsid w:val="00FF7B6B"/>
    <w:rsid w:val="010349DF"/>
    <w:rsid w:val="01211AD4"/>
    <w:rsid w:val="014031A5"/>
    <w:rsid w:val="018B650C"/>
    <w:rsid w:val="01B9692A"/>
    <w:rsid w:val="0270173E"/>
    <w:rsid w:val="02BC7007"/>
    <w:rsid w:val="038D087F"/>
    <w:rsid w:val="03AB416A"/>
    <w:rsid w:val="03BE46CA"/>
    <w:rsid w:val="03E57087"/>
    <w:rsid w:val="03ED08CB"/>
    <w:rsid w:val="03EE3E2C"/>
    <w:rsid w:val="03F92163"/>
    <w:rsid w:val="042452CB"/>
    <w:rsid w:val="047441A4"/>
    <w:rsid w:val="048A2E85"/>
    <w:rsid w:val="049C6FD8"/>
    <w:rsid w:val="04DB761E"/>
    <w:rsid w:val="053461B6"/>
    <w:rsid w:val="055C4173"/>
    <w:rsid w:val="057263EE"/>
    <w:rsid w:val="05855B18"/>
    <w:rsid w:val="058A4DFE"/>
    <w:rsid w:val="05AE6429"/>
    <w:rsid w:val="062D752E"/>
    <w:rsid w:val="06421293"/>
    <w:rsid w:val="064448F4"/>
    <w:rsid w:val="06447998"/>
    <w:rsid w:val="06614333"/>
    <w:rsid w:val="068E120E"/>
    <w:rsid w:val="06B6547B"/>
    <w:rsid w:val="06ED14B9"/>
    <w:rsid w:val="070829BA"/>
    <w:rsid w:val="071426B7"/>
    <w:rsid w:val="074E1E7A"/>
    <w:rsid w:val="07892BB8"/>
    <w:rsid w:val="07B93C8A"/>
    <w:rsid w:val="08004EB1"/>
    <w:rsid w:val="080619CA"/>
    <w:rsid w:val="081646DC"/>
    <w:rsid w:val="081C3B52"/>
    <w:rsid w:val="08796D38"/>
    <w:rsid w:val="087C1626"/>
    <w:rsid w:val="08873909"/>
    <w:rsid w:val="08917DB2"/>
    <w:rsid w:val="08934B1B"/>
    <w:rsid w:val="092263E9"/>
    <w:rsid w:val="092A47A1"/>
    <w:rsid w:val="092F6D8F"/>
    <w:rsid w:val="09373ABB"/>
    <w:rsid w:val="094E0124"/>
    <w:rsid w:val="09532A1B"/>
    <w:rsid w:val="099867A9"/>
    <w:rsid w:val="09C33652"/>
    <w:rsid w:val="09EC7201"/>
    <w:rsid w:val="0A43737F"/>
    <w:rsid w:val="0A8628A6"/>
    <w:rsid w:val="0AC95B7A"/>
    <w:rsid w:val="0AD43E4B"/>
    <w:rsid w:val="0AF22F92"/>
    <w:rsid w:val="0AF93815"/>
    <w:rsid w:val="0B110C73"/>
    <w:rsid w:val="0B154457"/>
    <w:rsid w:val="0B192960"/>
    <w:rsid w:val="0B426E07"/>
    <w:rsid w:val="0B4F2F67"/>
    <w:rsid w:val="0B7F0C20"/>
    <w:rsid w:val="0BE27F6E"/>
    <w:rsid w:val="0BF45FAE"/>
    <w:rsid w:val="0CAF76CC"/>
    <w:rsid w:val="0CC11877"/>
    <w:rsid w:val="0CD3181F"/>
    <w:rsid w:val="0CF81FF6"/>
    <w:rsid w:val="0D1B516E"/>
    <w:rsid w:val="0D3819E6"/>
    <w:rsid w:val="0D3F1C52"/>
    <w:rsid w:val="0D651279"/>
    <w:rsid w:val="0D680F35"/>
    <w:rsid w:val="0D8A168A"/>
    <w:rsid w:val="0DA43871"/>
    <w:rsid w:val="0DAC7D6C"/>
    <w:rsid w:val="0DF83FFE"/>
    <w:rsid w:val="0E1A7037"/>
    <w:rsid w:val="0E622328"/>
    <w:rsid w:val="0EBF06D0"/>
    <w:rsid w:val="0F0F7DA6"/>
    <w:rsid w:val="0F3827E4"/>
    <w:rsid w:val="0F474907"/>
    <w:rsid w:val="0F476ECA"/>
    <w:rsid w:val="0F672722"/>
    <w:rsid w:val="0FC21136"/>
    <w:rsid w:val="0FF265C7"/>
    <w:rsid w:val="0FF94348"/>
    <w:rsid w:val="10B0281A"/>
    <w:rsid w:val="10E14599"/>
    <w:rsid w:val="10EF192C"/>
    <w:rsid w:val="114D02C5"/>
    <w:rsid w:val="116449D1"/>
    <w:rsid w:val="11672681"/>
    <w:rsid w:val="118F38E1"/>
    <w:rsid w:val="11F00DDE"/>
    <w:rsid w:val="120F17F8"/>
    <w:rsid w:val="120F5268"/>
    <w:rsid w:val="12423B22"/>
    <w:rsid w:val="124D5D95"/>
    <w:rsid w:val="12CD7C1F"/>
    <w:rsid w:val="12D23DE0"/>
    <w:rsid w:val="12E16C05"/>
    <w:rsid w:val="132D7B6D"/>
    <w:rsid w:val="13346096"/>
    <w:rsid w:val="133B6A25"/>
    <w:rsid w:val="13412A99"/>
    <w:rsid w:val="13490E90"/>
    <w:rsid w:val="134C25F2"/>
    <w:rsid w:val="134C604F"/>
    <w:rsid w:val="138F138D"/>
    <w:rsid w:val="13A04ACF"/>
    <w:rsid w:val="13D77CAA"/>
    <w:rsid w:val="13DD53B6"/>
    <w:rsid w:val="14233968"/>
    <w:rsid w:val="14301601"/>
    <w:rsid w:val="14B720DC"/>
    <w:rsid w:val="14CE4783"/>
    <w:rsid w:val="14DB226E"/>
    <w:rsid w:val="14F25E69"/>
    <w:rsid w:val="15156284"/>
    <w:rsid w:val="154D47EE"/>
    <w:rsid w:val="1555064C"/>
    <w:rsid w:val="15683991"/>
    <w:rsid w:val="156C48AB"/>
    <w:rsid w:val="15906BFA"/>
    <w:rsid w:val="15C72AF2"/>
    <w:rsid w:val="15F105B4"/>
    <w:rsid w:val="15F55470"/>
    <w:rsid w:val="16177082"/>
    <w:rsid w:val="163F39AB"/>
    <w:rsid w:val="169E391C"/>
    <w:rsid w:val="16B71A4C"/>
    <w:rsid w:val="16D056D6"/>
    <w:rsid w:val="16DC6493"/>
    <w:rsid w:val="1747796A"/>
    <w:rsid w:val="17503129"/>
    <w:rsid w:val="17513478"/>
    <w:rsid w:val="17641A7D"/>
    <w:rsid w:val="17864B9C"/>
    <w:rsid w:val="181F0894"/>
    <w:rsid w:val="18280B19"/>
    <w:rsid w:val="182F1F90"/>
    <w:rsid w:val="18433254"/>
    <w:rsid w:val="18617D4C"/>
    <w:rsid w:val="18656EC7"/>
    <w:rsid w:val="18A72C2A"/>
    <w:rsid w:val="18B8162D"/>
    <w:rsid w:val="18BE5EEE"/>
    <w:rsid w:val="18E46FF4"/>
    <w:rsid w:val="194A0503"/>
    <w:rsid w:val="194E4DB3"/>
    <w:rsid w:val="196263CF"/>
    <w:rsid w:val="196F3967"/>
    <w:rsid w:val="19B11859"/>
    <w:rsid w:val="19B551F0"/>
    <w:rsid w:val="19CF4C2B"/>
    <w:rsid w:val="19D03A32"/>
    <w:rsid w:val="1A1B0321"/>
    <w:rsid w:val="1A4D3A11"/>
    <w:rsid w:val="1A641CC7"/>
    <w:rsid w:val="1AC136F4"/>
    <w:rsid w:val="1ACC7AF6"/>
    <w:rsid w:val="1AEE692F"/>
    <w:rsid w:val="1AEF08EF"/>
    <w:rsid w:val="1B675CAC"/>
    <w:rsid w:val="1B836635"/>
    <w:rsid w:val="1B883BF4"/>
    <w:rsid w:val="1BA16848"/>
    <w:rsid w:val="1BC718D6"/>
    <w:rsid w:val="1BD607F0"/>
    <w:rsid w:val="1BD84F7E"/>
    <w:rsid w:val="1C0D1DF3"/>
    <w:rsid w:val="1C0F7E60"/>
    <w:rsid w:val="1C1B3B19"/>
    <w:rsid w:val="1C243A87"/>
    <w:rsid w:val="1C27522B"/>
    <w:rsid w:val="1C2A1151"/>
    <w:rsid w:val="1C3C4688"/>
    <w:rsid w:val="1CA32952"/>
    <w:rsid w:val="1CB20611"/>
    <w:rsid w:val="1CFB2EF1"/>
    <w:rsid w:val="1D774A20"/>
    <w:rsid w:val="1D9F5E03"/>
    <w:rsid w:val="1DA3784F"/>
    <w:rsid w:val="1DE60DE1"/>
    <w:rsid w:val="1DF26E88"/>
    <w:rsid w:val="1E067F71"/>
    <w:rsid w:val="1E222749"/>
    <w:rsid w:val="1E5C2AAF"/>
    <w:rsid w:val="1E735A54"/>
    <w:rsid w:val="1E907CB7"/>
    <w:rsid w:val="1E9A7F2E"/>
    <w:rsid w:val="1EAB5036"/>
    <w:rsid w:val="1EC86614"/>
    <w:rsid w:val="1F60237D"/>
    <w:rsid w:val="1FF253A9"/>
    <w:rsid w:val="204A3066"/>
    <w:rsid w:val="207042D8"/>
    <w:rsid w:val="20893556"/>
    <w:rsid w:val="208F11C4"/>
    <w:rsid w:val="20AF00A4"/>
    <w:rsid w:val="20CB3162"/>
    <w:rsid w:val="20F142BF"/>
    <w:rsid w:val="20F35462"/>
    <w:rsid w:val="210C618E"/>
    <w:rsid w:val="21132784"/>
    <w:rsid w:val="2122788E"/>
    <w:rsid w:val="21351C56"/>
    <w:rsid w:val="2144340F"/>
    <w:rsid w:val="21DF490D"/>
    <w:rsid w:val="21FB4CBE"/>
    <w:rsid w:val="2218088A"/>
    <w:rsid w:val="224A19EC"/>
    <w:rsid w:val="225A4D5E"/>
    <w:rsid w:val="227D7D04"/>
    <w:rsid w:val="22A04D6A"/>
    <w:rsid w:val="22C877FF"/>
    <w:rsid w:val="22F1156A"/>
    <w:rsid w:val="230B280E"/>
    <w:rsid w:val="2317067B"/>
    <w:rsid w:val="23524D3A"/>
    <w:rsid w:val="237B6E44"/>
    <w:rsid w:val="23850515"/>
    <w:rsid w:val="23B100DE"/>
    <w:rsid w:val="23B77DA4"/>
    <w:rsid w:val="23E23CEB"/>
    <w:rsid w:val="240C79A8"/>
    <w:rsid w:val="24154668"/>
    <w:rsid w:val="24394341"/>
    <w:rsid w:val="247E2C16"/>
    <w:rsid w:val="247F027B"/>
    <w:rsid w:val="24920B3C"/>
    <w:rsid w:val="24CB6172"/>
    <w:rsid w:val="251C0EA0"/>
    <w:rsid w:val="251D5D33"/>
    <w:rsid w:val="251F059C"/>
    <w:rsid w:val="262938F4"/>
    <w:rsid w:val="265F1D2D"/>
    <w:rsid w:val="2682270E"/>
    <w:rsid w:val="26AA620F"/>
    <w:rsid w:val="26C87AB5"/>
    <w:rsid w:val="27421D8D"/>
    <w:rsid w:val="27514666"/>
    <w:rsid w:val="27B35276"/>
    <w:rsid w:val="27EF429E"/>
    <w:rsid w:val="281E1E69"/>
    <w:rsid w:val="28556425"/>
    <w:rsid w:val="285B7282"/>
    <w:rsid w:val="285D2C7A"/>
    <w:rsid w:val="28640A4B"/>
    <w:rsid w:val="28B14E43"/>
    <w:rsid w:val="28D149F3"/>
    <w:rsid w:val="28EE6A44"/>
    <w:rsid w:val="291D0921"/>
    <w:rsid w:val="293E6A9B"/>
    <w:rsid w:val="295121B2"/>
    <w:rsid w:val="297222B3"/>
    <w:rsid w:val="297E7214"/>
    <w:rsid w:val="29DB4D10"/>
    <w:rsid w:val="2A152DA2"/>
    <w:rsid w:val="2A311DDF"/>
    <w:rsid w:val="2A3279B1"/>
    <w:rsid w:val="2A50761C"/>
    <w:rsid w:val="2A735909"/>
    <w:rsid w:val="2A7A1BB1"/>
    <w:rsid w:val="2A9123F1"/>
    <w:rsid w:val="2AD2095B"/>
    <w:rsid w:val="2AE651B3"/>
    <w:rsid w:val="2AF809D6"/>
    <w:rsid w:val="2B1F0B69"/>
    <w:rsid w:val="2B38619E"/>
    <w:rsid w:val="2B6909E2"/>
    <w:rsid w:val="2B9273B1"/>
    <w:rsid w:val="2BA9021E"/>
    <w:rsid w:val="2BB57504"/>
    <w:rsid w:val="2BDF5A09"/>
    <w:rsid w:val="2BE23D11"/>
    <w:rsid w:val="2C680433"/>
    <w:rsid w:val="2CCA5869"/>
    <w:rsid w:val="2D2A51AA"/>
    <w:rsid w:val="2D9548F7"/>
    <w:rsid w:val="2DB143C1"/>
    <w:rsid w:val="2DC13DBD"/>
    <w:rsid w:val="2DD41AF8"/>
    <w:rsid w:val="2DDA7371"/>
    <w:rsid w:val="2DDB23FF"/>
    <w:rsid w:val="2E011ECD"/>
    <w:rsid w:val="2E01648C"/>
    <w:rsid w:val="2E4959FE"/>
    <w:rsid w:val="2E9F144E"/>
    <w:rsid w:val="2EC8492A"/>
    <w:rsid w:val="2EFF6701"/>
    <w:rsid w:val="2F122D37"/>
    <w:rsid w:val="2F47305F"/>
    <w:rsid w:val="2F5C5965"/>
    <w:rsid w:val="2F931ACF"/>
    <w:rsid w:val="2FBF24F6"/>
    <w:rsid w:val="2FCD65D5"/>
    <w:rsid w:val="30166922"/>
    <w:rsid w:val="30370B04"/>
    <w:rsid w:val="30384E79"/>
    <w:rsid w:val="30684CE5"/>
    <w:rsid w:val="306D73EE"/>
    <w:rsid w:val="30A95869"/>
    <w:rsid w:val="30CE0A5D"/>
    <w:rsid w:val="30E771A6"/>
    <w:rsid w:val="31304EEA"/>
    <w:rsid w:val="31453F03"/>
    <w:rsid w:val="318D4FA4"/>
    <w:rsid w:val="31B020CA"/>
    <w:rsid w:val="31F92B93"/>
    <w:rsid w:val="32077A89"/>
    <w:rsid w:val="325B13A2"/>
    <w:rsid w:val="326D38E0"/>
    <w:rsid w:val="327026F1"/>
    <w:rsid w:val="32AD3958"/>
    <w:rsid w:val="32B70AF0"/>
    <w:rsid w:val="32CD29CF"/>
    <w:rsid w:val="331B7646"/>
    <w:rsid w:val="33310A59"/>
    <w:rsid w:val="3377155E"/>
    <w:rsid w:val="33924FFA"/>
    <w:rsid w:val="33BD539D"/>
    <w:rsid w:val="33CB02DA"/>
    <w:rsid w:val="33E136A3"/>
    <w:rsid w:val="344E232A"/>
    <w:rsid w:val="345C1F5D"/>
    <w:rsid w:val="345C52FA"/>
    <w:rsid w:val="347137EE"/>
    <w:rsid w:val="348C28B5"/>
    <w:rsid w:val="34AB4E4F"/>
    <w:rsid w:val="34DF503E"/>
    <w:rsid w:val="34E95A21"/>
    <w:rsid w:val="35467A10"/>
    <w:rsid w:val="355404E7"/>
    <w:rsid w:val="35761F18"/>
    <w:rsid w:val="3581157C"/>
    <w:rsid w:val="358919F9"/>
    <w:rsid w:val="359236A6"/>
    <w:rsid w:val="3595067A"/>
    <w:rsid w:val="359E1B8A"/>
    <w:rsid w:val="359F6AB6"/>
    <w:rsid w:val="35B43DB3"/>
    <w:rsid w:val="35C36951"/>
    <w:rsid w:val="35E77436"/>
    <w:rsid w:val="363E4C2D"/>
    <w:rsid w:val="36425B03"/>
    <w:rsid w:val="364D7C81"/>
    <w:rsid w:val="366327CA"/>
    <w:rsid w:val="36681510"/>
    <w:rsid w:val="367F17FC"/>
    <w:rsid w:val="3686797F"/>
    <w:rsid w:val="368F2A60"/>
    <w:rsid w:val="36980C9C"/>
    <w:rsid w:val="36A22666"/>
    <w:rsid w:val="36CB0F18"/>
    <w:rsid w:val="36CE6D96"/>
    <w:rsid w:val="36D040A7"/>
    <w:rsid w:val="36F23585"/>
    <w:rsid w:val="36F3378C"/>
    <w:rsid w:val="37092171"/>
    <w:rsid w:val="37380378"/>
    <w:rsid w:val="37570E79"/>
    <w:rsid w:val="37633045"/>
    <w:rsid w:val="376F689E"/>
    <w:rsid w:val="3775316E"/>
    <w:rsid w:val="37B2586C"/>
    <w:rsid w:val="37DA19C9"/>
    <w:rsid w:val="37FB72F6"/>
    <w:rsid w:val="38111487"/>
    <w:rsid w:val="38190834"/>
    <w:rsid w:val="386F7FEE"/>
    <w:rsid w:val="38A77071"/>
    <w:rsid w:val="38C6092B"/>
    <w:rsid w:val="39077A40"/>
    <w:rsid w:val="39431D2B"/>
    <w:rsid w:val="39446ABE"/>
    <w:rsid w:val="39917372"/>
    <w:rsid w:val="39A06C31"/>
    <w:rsid w:val="3A0D0F54"/>
    <w:rsid w:val="3A1C1785"/>
    <w:rsid w:val="3A3D0093"/>
    <w:rsid w:val="3A465194"/>
    <w:rsid w:val="3A7C1752"/>
    <w:rsid w:val="3A8D4EA1"/>
    <w:rsid w:val="3A8D5509"/>
    <w:rsid w:val="3AFD3BF0"/>
    <w:rsid w:val="3B323E56"/>
    <w:rsid w:val="3B472A28"/>
    <w:rsid w:val="3B5F6F33"/>
    <w:rsid w:val="3B613F16"/>
    <w:rsid w:val="3B760ACB"/>
    <w:rsid w:val="3B971BEE"/>
    <w:rsid w:val="3BD20212"/>
    <w:rsid w:val="3BFE20CD"/>
    <w:rsid w:val="3C0A03A8"/>
    <w:rsid w:val="3C152230"/>
    <w:rsid w:val="3C3A46E7"/>
    <w:rsid w:val="3C3E5C5C"/>
    <w:rsid w:val="3C8816E5"/>
    <w:rsid w:val="3C962020"/>
    <w:rsid w:val="3CBB5606"/>
    <w:rsid w:val="3CD42FD4"/>
    <w:rsid w:val="3CE45647"/>
    <w:rsid w:val="3CFE2BA9"/>
    <w:rsid w:val="3CFE6761"/>
    <w:rsid w:val="3D663488"/>
    <w:rsid w:val="3D761F79"/>
    <w:rsid w:val="3D7F76AF"/>
    <w:rsid w:val="3DAA7FDC"/>
    <w:rsid w:val="3DAF06B3"/>
    <w:rsid w:val="3DB82A32"/>
    <w:rsid w:val="3DCF35B1"/>
    <w:rsid w:val="3DD21743"/>
    <w:rsid w:val="3DD77C4F"/>
    <w:rsid w:val="3E2658C2"/>
    <w:rsid w:val="3E3216C8"/>
    <w:rsid w:val="3E7B778D"/>
    <w:rsid w:val="3E861555"/>
    <w:rsid w:val="3E8912B9"/>
    <w:rsid w:val="3EB41984"/>
    <w:rsid w:val="3ECC3771"/>
    <w:rsid w:val="3F253A6A"/>
    <w:rsid w:val="3F5D1332"/>
    <w:rsid w:val="3F5F13C6"/>
    <w:rsid w:val="3F6D4D17"/>
    <w:rsid w:val="3FB3567F"/>
    <w:rsid w:val="3FB579A2"/>
    <w:rsid w:val="3FC7490A"/>
    <w:rsid w:val="3FCD7D52"/>
    <w:rsid w:val="4007664C"/>
    <w:rsid w:val="40113795"/>
    <w:rsid w:val="403F2216"/>
    <w:rsid w:val="409C7062"/>
    <w:rsid w:val="40A22424"/>
    <w:rsid w:val="40CD2069"/>
    <w:rsid w:val="40E47132"/>
    <w:rsid w:val="411E33DB"/>
    <w:rsid w:val="411F1CBC"/>
    <w:rsid w:val="41596681"/>
    <w:rsid w:val="415B4202"/>
    <w:rsid w:val="419F6D96"/>
    <w:rsid w:val="41C71F2D"/>
    <w:rsid w:val="41C84714"/>
    <w:rsid w:val="41C930DD"/>
    <w:rsid w:val="41F81F6C"/>
    <w:rsid w:val="42074686"/>
    <w:rsid w:val="422F3285"/>
    <w:rsid w:val="426A3F88"/>
    <w:rsid w:val="4278048C"/>
    <w:rsid w:val="42A95AE9"/>
    <w:rsid w:val="42B42080"/>
    <w:rsid w:val="42E42034"/>
    <w:rsid w:val="42F66838"/>
    <w:rsid w:val="433543AC"/>
    <w:rsid w:val="43394041"/>
    <w:rsid w:val="43805B72"/>
    <w:rsid w:val="43B76B38"/>
    <w:rsid w:val="441B4C49"/>
    <w:rsid w:val="442B30AD"/>
    <w:rsid w:val="444B35D1"/>
    <w:rsid w:val="44500BF3"/>
    <w:rsid w:val="4464696D"/>
    <w:rsid w:val="446D7A63"/>
    <w:rsid w:val="447A1070"/>
    <w:rsid w:val="44C3298D"/>
    <w:rsid w:val="45150520"/>
    <w:rsid w:val="451A029F"/>
    <w:rsid w:val="45305838"/>
    <w:rsid w:val="45846855"/>
    <w:rsid w:val="45D26752"/>
    <w:rsid w:val="460C7C2A"/>
    <w:rsid w:val="46365120"/>
    <w:rsid w:val="46422BF3"/>
    <w:rsid w:val="465C42EA"/>
    <w:rsid w:val="46945A6B"/>
    <w:rsid w:val="46A0311D"/>
    <w:rsid w:val="46AF5423"/>
    <w:rsid w:val="46FD5F82"/>
    <w:rsid w:val="46FE62B7"/>
    <w:rsid w:val="474859D1"/>
    <w:rsid w:val="475714AB"/>
    <w:rsid w:val="478F3DE5"/>
    <w:rsid w:val="48A9354D"/>
    <w:rsid w:val="49086B40"/>
    <w:rsid w:val="497B03A6"/>
    <w:rsid w:val="49C31961"/>
    <w:rsid w:val="49E451F0"/>
    <w:rsid w:val="4A4803E9"/>
    <w:rsid w:val="4A672695"/>
    <w:rsid w:val="4A94029A"/>
    <w:rsid w:val="4A9B54CC"/>
    <w:rsid w:val="4ACE4B27"/>
    <w:rsid w:val="4AE33C6A"/>
    <w:rsid w:val="4B243085"/>
    <w:rsid w:val="4B357B58"/>
    <w:rsid w:val="4B3B0528"/>
    <w:rsid w:val="4B4C0A4C"/>
    <w:rsid w:val="4B5E1A6F"/>
    <w:rsid w:val="4B6678AA"/>
    <w:rsid w:val="4B7D5858"/>
    <w:rsid w:val="4BCA6B4F"/>
    <w:rsid w:val="4C004433"/>
    <w:rsid w:val="4C342A4B"/>
    <w:rsid w:val="4C3A6B73"/>
    <w:rsid w:val="4CAC33B5"/>
    <w:rsid w:val="4CAE763A"/>
    <w:rsid w:val="4CB66AAB"/>
    <w:rsid w:val="4CB82DDD"/>
    <w:rsid w:val="4D464F38"/>
    <w:rsid w:val="4D8E73E4"/>
    <w:rsid w:val="4D953EEA"/>
    <w:rsid w:val="4DA155F6"/>
    <w:rsid w:val="4DF85CD2"/>
    <w:rsid w:val="4E3E0071"/>
    <w:rsid w:val="4E78455C"/>
    <w:rsid w:val="4E832398"/>
    <w:rsid w:val="4E9A1F07"/>
    <w:rsid w:val="4EC131F0"/>
    <w:rsid w:val="4EC21420"/>
    <w:rsid w:val="4EC4605B"/>
    <w:rsid w:val="4F1363EA"/>
    <w:rsid w:val="4F2279D9"/>
    <w:rsid w:val="4F334338"/>
    <w:rsid w:val="4F3855EC"/>
    <w:rsid w:val="4F3C566E"/>
    <w:rsid w:val="4F5A522A"/>
    <w:rsid w:val="4F666E0C"/>
    <w:rsid w:val="4F9D5515"/>
    <w:rsid w:val="4FDD3080"/>
    <w:rsid w:val="4FFA1385"/>
    <w:rsid w:val="4FFC2432"/>
    <w:rsid w:val="50565F9A"/>
    <w:rsid w:val="505954A6"/>
    <w:rsid w:val="506D63B7"/>
    <w:rsid w:val="507D3AA3"/>
    <w:rsid w:val="50975AF5"/>
    <w:rsid w:val="50987876"/>
    <w:rsid w:val="50AA2519"/>
    <w:rsid w:val="50C730CB"/>
    <w:rsid w:val="50D16D64"/>
    <w:rsid w:val="50F97CBF"/>
    <w:rsid w:val="51080A80"/>
    <w:rsid w:val="5165256A"/>
    <w:rsid w:val="51AB2BEE"/>
    <w:rsid w:val="51D35482"/>
    <w:rsid w:val="51F64BDB"/>
    <w:rsid w:val="5238057A"/>
    <w:rsid w:val="52411C9B"/>
    <w:rsid w:val="525A0210"/>
    <w:rsid w:val="52700ACF"/>
    <w:rsid w:val="52736134"/>
    <w:rsid w:val="527B1904"/>
    <w:rsid w:val="52B4729E"/>
    <w:rsid w:val="52B73CB1"/>
    <w:rsid w:val="52D1151D"/>
    <w:rsid w:val="52DE7149"/>
    <w:rsid w:val="530D6723"/>
    <w:rsid w:val="531A65BE"/>
    <w:rsid w:val="532367C2"/>
    <w:rsid w:val="53635ADA"/>
    <w:rsid w:val="539F3DB1"/>
    <w:rsid w:val="53A7714E"/>
    <w:rsid w:val="53B2282F"/>
    <w:rsid w:val="53C97269"/>
    <w:rsid w:val="53D17ADB"/>
    <w:rsid w:val="5421005B"/>
    <w:rsid w:val="54555CF4"/>
    <w:rsid w:val="54581BBB"/>
    <w:rsid w:val="547956C2"/>
    <w:rsid w:val="549C728F"/>
    <w:rsid w:val="54A92AE8"/>
    <w:rsid w:val="54AE1829"/>
    <w:rsid w:val="54AE23A9"/>
    <w:rsid w:val="54B56F69"/>
    <w:rsid w:val="54C2569E"/>
    <w:rsid w:val="54C53E75"/>
    <w:rsid w:val="54D36BBC"/>
    <w:rsid w:val="55030305"/>
    <w:rsid w:val="551D3D25"/>
    <w:rsid w:val="552A5E19"/>
    <w:rsid w:val="5538224D"/>
    <w:rsid w:val="5556796E"/>
    <w:rsid w:val="555E5D82"/>
    <w:rsid w:val="5565794A"/>
    <w:rsid w:val="556C36E1"/>
    <w:rsid w:val="557843E8"/>
    <w:rsid w:val="55951A72"/>
    <w:rsid w:val="56457CB7"/>
    <w:rsid w:val="565E7162"/>
    <w:rsid w:val="568A1F94"/>
    <w:rsid w:val="569D75B1"/>
    <w:rsid w:val="56C0771E"/>
    <w:rsid w:val="5729450F"/>
    <w:rsid w:val="572F7AC2"/>
    <w:rsid w:val="574234AB"/>
    <w:rsid w:val="574A6FE7"/>
    <w:rsid w:val="574E0E36"/>
    <w:rsid w:val="57A77E45"/>
    <w:rsid w:val="58011E3C"/>
    <w:rsid w:val="581319EA"/>
    <w:rsid w:val="581F44F3"/>
    <w:rsid w:val="583402FA"/>
    <w:rsid w:val="584E270A"/>
    <w:rsid w:val="584F1C4F"/>
    <w:rsid w:val="58A22059"/>
    <w:rsid w:val="59014B3B"/>
    <w:rsid w:val="591C3AD3"/>
    <w:rsid w:val="592E346A"/>
    <w:rsid w:val="59467686"/>
    <w:rsid w:val="59551880"/>
    <w:rsid w:val="59551BC1"/>
    <w:rsid w:val="59966375"/>
    <w:rsid w:val="59981DF0"/>
    <w:rsid w:val="59A41928"/>
    <w:rsid w:val="59AC3A01"/>
    <w:rsid w:val="59FE09B0"/>
    <w:rsid w:val="5A544F63"/>
    <w:rsid w:val="5A6B607E"/>
    <w:rsid w:val="5A946D59"/>
    <w:rsid w:val="5A9A5B3A"/>
    <w:rsid w:val="5AE742D8"/>
    <w:rsid w:val="5B0332A7"/>
    <w:rsid w:val="5B563A0D"/>
    <w:rsid w:val="5B58020F"/>
    <w:rsid w:val="5B6468DE"/>
    <w:rsid w:val="5B6F5976"/>
    <w:rsid w:val="5B7140B5"/>
    <w:rsid w:val="5B7D540C"/>
    <w:rsid w:val="5B7E4ECC"/>
    <w:rsid w:val="5B8F3C0F"/>
    <w:rsid w:val="5B9812B3"/>
    <w:rsid w:val="5BD26DC8"/>
    <w:rsid w:val="5C084CEC"/>
    <w:rsid w:val="5CC42B95"/>
    <w:rsid w:val="5D5040A7"/>
    <w:rsid w:val="5D65758C"/>
    <w:rsid w:val="5D6B2F2E"/>
    <w:rsid w:val="5D7C705D"/>
    <w:rsid w:val="5D7F4759"/>
    <w:rsid w:val="5D9F0C49"/>
    <w:rsid w:val="5DB82D9D"/>
    <w:rsid w:val="5E2224EE"/>
    <w:rsid w:val="5E5D0916"/>
    <w:rsid w:val="5E64192C"/>
    <w:rsid w:val="5E872437"/>
    <w:rsid w:val="5E8811DA"/>
    <w:rsid w:val="5E9015A1"/>
    <w:rsid w:val="5E93297D"/>
    <w:rsid w:val="5EDE7E83"/>
    <w:rsid w:val="5F117B1E"/>
    <w:rsid w:val="5F13068D"/>
    <w:rsid w:val="5F6252D4"/>
    <w:rsid w:val="5F685570"/>
    <w:rsid w:val="5F6A22C9"/>
    <w:rsid w:val="5F8B68A7"/>
    <w:rsid w:val="5FA840E1"/>
    <w:rsid w:val="5FB41B10"/>
    <w:rsid w:val="5FB912AB"/>
    <w:rsid w:val="5FD55C0F"/>
    <w:rsid w:val="601F645B"/>
    <w:rsid w:val="603F4081"/>
    <w:rsid w:val="6044513C"/>
    <w:rsid w:val="604E254F"/>
    <w:rsid w:val="607E5533"/>
    <w:rsid w:val="609C08BE"/>
    <w:rsid w:val="60E71594"/>
    <w:rsid w:val="61243443"/>
    <w:rsid w:val="613A4296"/>
    <w:rsid w:val="61684F2B"/>
    <w:rsid w:val="61BC013B"/>
    <w:rsid w:val="61D313A2"/>
    <w:rsid w:val="6280156C"/>
    <w:rsid w:val="62A32974"/>
    <w:rsid w:val="62A81C63"/>
    <w:rsid w:val="62D639F7"/>
    <w:rsid w:val="62F162C9"/>
    <w:rsid w:val="634147D0"/>
    <w:rsid w:val="63414D1C"/>
    <w:rsid w:val="635255D6"/>
    <w:rsid w:val="63681D63"/>
    <w:rsid w:val="638E1A72"/>
    <w:rsid w:val="63CE7E76"/>
    <w:rsid w:val="64871138"/>
    <w:rsid w:val="64AB411D"/>
    <w:rsid w:val="650C759F"/>
    <w:rsid w:val="651D103A"/>
    <w:rsid w:val="652B1425"/>
    <w:rsid w:val="65692B22"/>
    <w:rsid w:val="656A2655"/>
    <w:rsid w:val="65F04A1A"/>
    <w:rsid w:val="6601543A"/>
    <w:rsid w:val="663550CB"/>
    <w:rsid w:val="663811B0"/>
    <w:rsid w:val="6689725B"/>
    <w:rsid w:val="66A4479D"/>
    <w:rsid w:val="67276747"/>
    <w:rsid w:val="67305A17"/>
    <w:rsid w:val="673E6FBB"/>
    <w:rsid w:val="68267A2F"/>
    <w:rsid w:val="684E4434"/>
    <w:rsid w:val="68C031E1"/>
    <w:rsid w:val="68E44E04"/>
    <w:rsid w:val="694C7EF8"/>
    <w:rsid w:val="695A5409"/>
    <w:rsid w:val="69683ABC"/>
    <w:rsid w:val="6979066C"/>
    <w:rsid w:val="69C63C7D"/>
    <w:rsid w:val="6A9670CF"/>
    <w:rsid w:val="6AC63AFC"/>
    <w:rsid w:val="6B165F8C"/>
    <w:rsid w:val="6B186B28"/>
    <w:rsid w:val="6B2255EB"/>
    <w:rsid w:val="6B325FAE"/>
    <w:rsid w:val="6B41572D"/>
    <w:rsid w:val="6B4F5672"/>
    <w:rsid w:val="6B7C77F1"/>
    <w:rsid w:val="6BBF43E9"/>
    <w:rsid w:val="6BDC2110"/>
    <w:rsid w:val="6BFB13F3"/>
    <w:rsid w:val="6C17303C"/>
    <w:rsid w:val="6C682001"/>
    <w:rsid w:val="6C6E545A"/>
    <w:rsid w:val="6C8E751D"/>
    <w:rsid w:val="6C9E3613"/>
    <w:rsid w:val="6CA047C4"/>
    <w:rsid w:val="6CA439CF"/>
    <w:rsid w:val="6CA96E24"/>
    <w:rsid w:val="6D072DF8"/>
    <w:rsid w:val="6D522397"/>
    <w:rsid w:val="6D5B0C2D"/>
    <w:rsid w:val="6DAD3E41"/>
    <w:rsid w:val="6DC31B76"/>
    <w:rsid w:val="6DCC0305"/>
    <w:rsid w:val="6DD15B70"/>
    <w:rsid w:val="6DEF5576"/>
    <w:rsid w:val="6DF669E1"/>
    <w:rsid w:val="6E403382"/>
    <w:rsid w:val="6E497783"/>
    <w:rsid w:val="6E6D3F5C"/>
    <w:rsid w:val="6E7B69E6"/>
    <w:rsid w:val="6EC54500"/>
    <w:rsid w:val="6EFA6785"/>
    <w:rsid w:val="6F07391F"/>
    <w:rsid w:val="6F2048B9"/>
    <w:rsid w:val="6F2D7770"/>
    <w:rsid w:val="6F303756"/>
    <w:rsid w:val="6F607BF4"/>
    <w:rsid w:val="6F7639FA"/>
    <w:rsid w:val="6F864B9E"/>
    <w:rsid w:val="6F9170EC"/>
    <w:rsid w:val="6F920D95"/>
    <w:rsid w:val="6FCB302C"/>
    <w:rsid w:val="6FE05DB4"/>
    <w:rsid w:val="702A3ACE"/>
    <w:rsid w:val="703F1B3A"/>
    <w:rsid w:val="705D0CA3"/>
    <w:rsid w:val="707C133A"/>
    <w:rsid w:val="70855F49"/>
    <w:rsid w:val="70AB65F0"/>
    <w:rsid w:val="70D52320"/>
    <w:rsid w:val="70F01D72"/>
    <w:rsid w:val="71337463"/>
    <w:rsid w:val="716F4873"/>
    <w:rsid w:val="71A30C87"/>
    <w:rsid w:val="72000DFE"/>
    <w:rsid w:val="7230375D"/>
    <w:rsid w:val="72500F43"/>
    <w:rsid w:val="725504B6"/>
    <w:rsid w:val="72836EE5"/>
    <w:rsid w:val="730220BE"/>
    <w:rsid w:val="731C49F6"/>
    <w:rsid w:val="736F0F8F"/>
    <w:rsid w:val="73773D4F"/>
    <w:rsid w:val="738F7621"/>
    <w:rsid w:val="73A06665"/>
    <w:rsid w:val="73BA1001"/>
    <w:rsid w:val="73DE4104"/>
    <w:rsid w:val="73DF2283"/>
    <w:rsid w:val="74035EF1"/>
    <w:rsid w:val="740744B7"/>
    <w:rsid w:val="742224B4"/>
    <w:rsid w:val="742F6EA1"/>
    <w:rsid w:val="743662C4"/>
    <w:rsid w:val="747F6DA9"/>
    <w:rsid w:val="74A175B5"/>
    <w:rsid w:val="74B010F1"/>
    <w:rsid w:val="74D07EF1"/>
    <w:rsid w:val="75160436"/>
    <w:rsid w:val="751D624D"/>
    <w:rsid w:val="75503CF7"/>
    <w:rsid w:val="755662AC"/>
    <w:rsid w:val="755D231D"/>
    <w:rsid w:val="756F3A0A"/>
    <w:rsid w:val="756F6CE4"/>
    <w:rsid w:val="7578381D"/>
    <w:rsid w:val="75BC3646"/>
    <w:rsid w:val="75F90043"/>
    <w:rsid w:val="76575B8F"/>
    <w:rsid w:val="766E44DB"/>
    <w:rsid w:val="76901DB2"/>
    <w:rsid w:val="769B1404"/>
    <w:rsid w:val="76B279BE"/>
    <w:rsid w:val="77076FD7"/>
    <w:rsid w:val="77357214"/>
    <w:rsid w:val="77405723"/>
    <w:rsid w:val="7779642C"/>
    <w:rsid w:val="7799235E"/>
    <w:rsid w:val="77A750FA"/>
    <w:rsid w:val="77BC650A"/>
    <w:rsid w:val="77F350C7"/>
    <w:rsid w:val="780808C7"/>
    <w:rsid w:val="785D235A"/>
    <w:rsid w:val="78C53AE7"/>
    <w:rsid w:val="78CB541D"/>
    <w:rsid w:val="78E85D15"/>
    <w:rsid w:val="79077FCC"/>
    <w:rsid w:val="791A04CD"/>
    <w:rsid w:val="793E2865"/>
    <w:rsid w:val="795178DD"/>
    <w:rsid w:val="79B40110"/>
    <w:rsid w:val="7A2D428B"/>
    <w:rsid w:val="7A30713D"/>
    <w:rsid w:val="7A3765F2"/>
    <w:rsid w:val="7A752201"/>
    <w:rsid w:val="7AD10204"/>
    <w:rsid w:val="7B163C91"/>
    <w:rsid w:val="7B2D61FE"/>
    <w:rsid w:val="7B4339F3"/>
    <w:rsid w:val="7B507A12"/>
    <w:rsid w:val="7B6D4A26"/>
    <w:rsid w:val="7B71585E"/>
    <w:rsid w:val="7B795D5E"/>
    <w:rsid w:val="7B7B2AA8"/>
    <w:rsid w:val="7B7C7D1D"/>
    <w:rsid w:val="7B940391"/>
    <w:rsid w:val="7BC04AA1"/>
    <w:rsid w:val="7BEE5BC4"/>
    <w:rsid w:val="7C2B64D6"/>
    <w:rsid w:val="7C2D4B70"/>
    <w:rsid w:val="7C336E0A"/>
    <w:rsid w:val="7C37023A"/>
    <w:rsid w:val="7C8B294F"/>
    <w:rsid w:val="7CCE7194"/>
    <w:rsid w:val="7CD65AB4"/>
    <w:rsid w:val="7CE95DDA"/>
    <w:rsid w:val="7DCC4DFB"/>
    <w:rsid w:val="7DEF61E8"/>
    <w:rsid w:val="7E04681D"/>
    <w:rsid w:val="7EF26A1F"/>
    <w:rsid w:val="7F3746F1"/>
    <w:rsid w:val="7F5E6EBF"/>
    <w:rsid w:val="7F724D08"/>
    <w:rsid w:val="7F8C4BD0"/>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rPr>
      <w:color w:val="auto"/>
      <w:kern w:val="2"/>
    </w:rPr>
  </w:style>
  <w:style w:type="paragraph" w:styleId="6">
    <w:name w:val="Body Text"/>
    <w:basedOn w:val="1"/>
    <w:unhideWhenUsed/>
    <w:qFormat/>
    <w:uiPriority w:val="99"/>
    <w:pPr>
      <w:spacing w:after="120"/>
    </w:pPr>
  </w:style>
  <w:style w:type="paragraph" w:styleId="7">
    <w:name w:val="Plain Text"/>
    <w:basedOn w:val="1"/>
    <w:unhideWhenUsed/>
    <w:qFormat/>
    <w:uiPriority w:val="99"/>
    <w:rPr>
      <w:rFonts w:ascii="宋体" w:hAnsi="Courier New"/>
      <w:kern w:val="0"/>
      <w:sz w:val="20"/>
      <w:szCs w:val="20"/>
    </w:rPr>
  </w:style>
  <w:style w:type="paragraph" w:styleId="8">
    <w:name w:val="Balloon Text"/>
    <w:basedOn w:val="1"/>
    <w:link w:val="20"/>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rFonts w:ascii="Cambria" w:hAnsi="Cambria"/>
      <w:b/>
      <w:bCs/>
      <w:kern w:val="0"/>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character" w:customStyle="1" w:styleId="17">
    <w:name w:val="标题 1 Char"/>
    <w:basedOn w:val="14"/>
    <w:link w:val="2"/>
    <w:qFormat/>
    <w:uiPriority w:val="9"/>
    <w:rPr>
      <w:b/>
      <w:bCs/>
      <w:color w:val="000000"/>
      <w:kern w:val="44"/>
      <w:sz w:val="44"/>
      <w:szCs w:val="44"/>
    </w:rPr>
  </w:style>
  <w:style w:type="character" w:customStyle="1" w:styleId="18">
    <w:name w:val="标题 3 Char"/>
    <w:basedOn w:val="14"/>
    <w:link w:val="4"/>
    <w:qFormat/>
    <w:uiPriority w:val="0"/>
    <w:rPr>
      <w:rFonts w:ascii="Times New Roman" w:hAnsi="Times New Roman" w:eastAsia="‹ÎSå" w:cs="Times New Roman"/>
      <w:b/>
      <w:color w:val="000000"/>
      <w:kern w:val="0"/>
      <w:sz w:val="32"/>
      <w:szCs w:val="32"/>
      <w:lang w:val="zh-CN"/>
    </w:rPr>
  </w:style>
  <w:style w:type="character" w:customStyle="1" w:styleId="19">
    <w:name w:val="批注文字 Char1"/>
    <w:basedOn w:val="14"/>
    <w:link w:val="5"/>
    <w:semiHidden/>
    <w:qFormat/>
    <w:uiPriority w:val="99"/>
    <w:rPr>
      <w:color w:val="000000"/>
      <w:sz w:val="21"/>
      <w:szCs w:val="24"/>
    </w:rPr>
  </w:style>
  <w:style w:type="character" w:customStyle="1" w:styleId="20">
    <w:name w:val="批注框文本 Char"/>
    <w:basedOn w:val="14"/>
    <w:link w:val="8"/>
    <w:semiHidden/>
    <w:qFormat/>
    <w:uiPriority w:val="99"/>
    <w:rPr>
      <w:rFonts w:ascii="Times New Roman" w:hAnsi="Times New Roman"/>
      <w:color w:val="000000"/>
      <w:sz w:val="18"/>
      <w:szCs w:val="18"/>
    </w:rPr>
  </w:style>
  <w:style w:type="character" w:customStyle="1" w:styleId="21">
    <w:name w:val="页脚 Char"/>
    <w:basedOn w:val="14"/>
    <w:link w:val="9"/>
    <w:semiHidden/>
    <w:qFormat/>
    <w:uiPriority w:val="99"/>
    <w:rPr>
      <w:sz w:val="18"/>
      <w:szCs w:val="18"/>
    </w:rPr>
  </w:style>
  <w:style w:type="character" w:customStyle="1" w:styleId="22">
    <w:name w:val="页眉 Char"/>
    <w:basedOn w:val="14"/>
    <w:link w:val="10"/>
    <w:semiHidden/>
    <w:qFormat/>
    <w:uiPriority w:val="99"/>
    <w:rPr>
      <w:sz w:val="18"/>
      <w:szCs w:val="18"/>
    </w:rPr>
  </w:style>
  <w:style w:type="character" w:customStyle="1" w:styleId="23">
    <w:name w:val="font41"/>
    <w:basedOn w:val="14"/>
    <w:qFormat/>
    <w:uiPriority w:val="0"/>
    <w:rPr>
      <w:rFonts w:hint="default" w:ascii="Times New Roman" w:hAnsi="Times New Roman" w:cs="Times New Roman"/>
      <w:color w:val="000000"/>
      <w:sz w:val="18"/>
      <w:szCs w:val="18"/>
      <w:u w:val="none"/>
    </w:rPr>
  </w:style>
  <w:style w:type="character" w:customStyle="1" w:styleId="24">
    <w:name w:val="font61"/>
    <w:basedOn w:val="14"/>
    <w:qFormat/>
    <w:uiPriority w:val="0"/>
    <w:rPr>
      <w:rFonts w:hint="eastAsia" w:ascii="宋体" w:hAnsi="宋体" w:eastAsia="宋体" w:cs="宋体"/>
      <w:color w:val="000000"/>
      <w:sz w:val="12"/>
      <w:szCs w:val="12"/>
      <w:u w:val="none"/>
    </w:rPr>
  </w:style>
  <w:style w:type="character" w:customStyle="1" w:styleId="25">
    <w:name w:val="font121"/>
    <w:basedOn w:val="14"/>
    <w:qFormat/>
    <w:uiPriority w:val="0"/>
    <w:rPr>
      <w:rFonts w:hint="eastAsia" w:ascii="宋体" w:hAnsi="宋体" w:eastAsia="宋体" w:cs="宋体"/>
      <w:color w:val="000000"/>
      <w:sz w:val="18"/>
      <w:szCs w:val="18"/>
      <w:u w:val="none"/>
    </w:rPr>
  </w:style>
  <w:style w:type="character" w:customStyle="1" w:styleId="26">
    <w:name w:val="font01"/>
    <w:basedOn w:val="14"/>
    <w:qFormat/>
    <w:uiPriority w:val="0"/>
    <w:rPr>
      <w:rFonts w:hint="eastAsia" w:ascii="宋体" w:hAnsi="宋体" w:eastAsia="宋体" w:cs="宋体"/>
      <w:color w:val="FF0000"/>
      <w:sz w:val="20"/>
      <w:szCs w:val="20"/>
      <w:u w:val="none"/>
    </w:rPr>
  </w:style>
  <w:style w:type="character" w:customStyle="1" w:styleId="27">
    <w:name w:val="font21"/>
    <w:basedOn w:val="14"/>
    <w:qFormat/>
    <w:uiPriority w:val="0"/>
    <w:rPr>
      <w:rFonts w:hint="eastAsia" w:ascii="宋体" w:hAnsi="宋体" w:eastAsia="宋体" w:cs="宋体"/>
      <w:color w:val="000000"/>
      <w:sz w:val="20"/>
      <w:szCs w:val="20"/>
      <w:u w:val="none"/>
    </w:rPr>
  </w:style>
  <w:style w:type="character" w:customStyle="1" w:styleId="28">
    <w:name w:val="font51"/>
    <w:basedOn w:val="14"/>
    <w:qFormat/>
    <w:uiPriority w:val="0"/>
    <w:rPr>
      <w:rFonts w:hint="eastAsia" w:ascii="宋体" w:hAnsi="宋体" w:eastAsia="宋体" w:cs="宋体"/>
      <w:color w:val="000000"/>
      <w:sz w:val="18"/>
      <w:szCs w:val="18"/>
      <w:u w:val="none"/>
    </w:rPr>
  </w:style>
  <w:style w:type="character" w:customStyle="1" w:styleId="29">
    <w:name w:val="font91"/>
    <w:basedOn w:val="14"/>
    <w:qFormat/>
    <w:uiPriority w:val="0"/>
    <w:rPr>
      <w:rFonts w:hint="default" w:ascii="Times New Roman" w:hAnsi="Times New Roman" w:cs="Times New Roman"/>
      <w:color w:val="000000"/>
      <w:sz w:val="18"/>
      <w:szCs w:val="18"/>
      <w:u w:val="none"/>
    </w:rPr>
  </w:style>
  <w:style w:type="character" w:customStyle="1" w:styleId="30">
    <w:name w:val="font31"/>
    <w:basedOn w:val="14"/>
    <w:qFormat/>
    <w:uiPriority w:val="0"/>
    <w:rPr>
      <w:rFonts w:hint="eastAsia" w:ascii="宋体" w:hAnsi="宋体" w:eastAsia="宋体" w:cs="宋体"/>
      <w:color w:val="000000"/>
      <w:sz w:val="18"/>
      <w:szCs w:val="18"/>
      <w:u w:val="none"/>
    </w:rPr>
  </w:style>
  <w:style w:type="character" w:customStyle="1" w:styleId="31">
    <w:name w:val="font81"/>
    <w:basedOn w:val="14"/>
    <w:qFormat/>
    <w:uiPriority w:val="0"/>
    <w:rPr>
      <w:rFonts w:hint="eastAsia" w:ascii="宋体" w:hAnsi="宋体" w:eastAsia="宋体" w:cs="宋体"/>
      <w:color w:val="000000"/>
      <w:sz w:val="18"/>
      <w:szCs w:val="18"/>
      <w:u w:val="none"/>
    </w:rPr>
  </w:style>
  <w:style w:type="character" w:customStyle="1" w:styleId="32">
    <w:name w:val="font11"/>
    <w:basedOn w:val="14"/>
    <w:qFormat/>
    <w:uiPriority w:val="0"/>
    <w:rPr>
      <w:rFonts w:hint="eastAsia" w:ascii="宋体" w:hAnsi="宋体" w:eastAsia="宋体" w:cs="宋体"/>
      <w:color w:val="000000"/>
      <w:sz w:val="18"/>
      <w:szCs w:val="18"/>
      <w:u w:val="none"/>
    </w:rPr>
  </w:style>
  <w:style w:type="paragraph" w:customStyle="1" w:styleId="33">
    <w:name w:val="列出段落1"/>
    <w:basedOn w:val="1"/>
    <w:qFormat/>
    <w:uiPriority w:val="34"/>
    <w:pPr>
      <w:ind w:firstLine="420" w:firstLineChars="200"/>
    </w:p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5">
    <w:name w:val="批注文字 Char"/>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5245</Words>
  <Characters>5447</Characters>
  <Lines>47</Lines>
  <Paragraphs>13</Paragraphs>
  <TotalTime>90</TotalTime>
  <ScaleCrop>false</ScaleCrop>
  <LinksUpToDate>false</LinksUpToDate>
  <CharactersWithSpaces>5670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翟海燕</cp:lastModifiedBy>
  <cp:lastPrinted>2024-08-09T08:47:00Z</cp:lastPrinted>
  <dcterms:modified xsi:type="dcterms:W3CDTF">2024-10-10T01:43:35Z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556A3DC6AF8E4310877C20883359B3E0_13</vt:lpwstr>
  </property>
</Properties>
</file>